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308732</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Inchon</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Korea</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remaining RRM requirements for FeMIMO</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5.2.3.1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bookmarkStart w:id="2" w:name="_GoBack"/>
      <w:bookmarkEnd w:id="2"/>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1"/>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RAN4 106 meeting, one way forward on RRM impact for unified TCI state and inter-cell beam management in FeMIMO were approved in [1]. Within the WF, multiple agreements corresponding to different issues were approved.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line="240" w:lineRule="auto"/>
              <w:rPr>
                <w:rFonts w:eastAsiaTheme="minorEastAsia"/>
                <w:b/>
                <w:u w:val="single"/>
                <w:lang w:eastAsia="zh-CN"/>
              </w:rPr>
            </w:pPr>
            <w:r>
              <w:rPr>
                <w:rFonts w:eastAsiaTheme="minorEastAsia"/>
                <w:b/>
                <w:u w:val="single"/>
                <w:lang w:eastAsia="zh-CN"/>
              </w:rPr>
              <w:t xml:space="preserve">Issue 1-1-3 Whether </w:t>
            </w:r>
            <w:r>
              <w:rPr>
                <w:b/>
                <w:bCs/>
                <w:u w:val="single"/>
              </w:rPr>
              <w:t xml:space="preserve">UE need to track UL time/frequency </w:t>
            </w:r>
            <w:r>
              <w:rPr>
                <w:rFonts w:eastAsiaTheme="minorEastAsia"/>
                <w:b/>
                <w:u w:val="single"/>
                <w:lang w:eastAsia="zh-CN"/>
              </w:rPr>
              <w:t>if source RS in UL TCI state is not in the DL active TCI list</w:t>
            </w:r>
          </w:p>
          <w:p>
            <w:pPr>
              <w:pStyle w:val="29"/>
              <w:numPr>
                <w:ilvl w:val="0"/>
                <w:numId w:val="4"/>
              </w:numPr>
              <w:overflowPunct/>
              <w:autoSpaceDE/>
              <w:autoSpaceDN/>
              <w:adjustRightInd/>
              <w:spacing w:after="120" w:line="240" w:lineRule="auto"/>
              <w:ind w:left="720" w:firstLineChars="0"/>
              <w:textAlignment w:val="auto"/>
              <w:rPr>
                <w:rFonts w:eastAsiaTheme="minorEastAsia"/>
                <w:bCs/>
                <w:lang w:eastAsia="zh-CN"/>
              </w:rPr>
            </w:pPr>
            <w:r>
              <w:rPr>
                <w:rFonts w:eastAsiaTheme="minorEastAsia"/>
                <w:bCs/>
                <w:lang w:eastAsia="zh-CN"/>
              </w:rPr>
              <w:t>To be confirmed:</w:t>
            </w:r>
          </w:p>
          <w:p>
            <w:pPr>
              <w:pStyle w:val="29"/>
              <w:numPr>
                <w:ilvl w:val="1"/>
                <w:numId w:val="4"/>
              </w:numPr>
              <w:overflowPunct/>
              <w:autoSpaceDE/>
              <w:adjustRightInd/>
              <w:spacing w:after="120" w:line="240" w:lineRule="auto"/>
              <w:ind w:left="1656" w:firstLineChars="0"/>
              <w:textAlignment w:val="auto"/>
              <w:rPr>
                <w:lang w:val="sv-SE"/>
              </w:rPr>
            </w:pPr>
            <w:r>
              <w:rPr>
                <w:rFonts w:hint="eastAsia" w:asciiTheme="minorEastAsia" w:hAnsiTheme="minorEastAsia" w:eastAsiaTheme="minorEastAsia"/>
                <w:lang w:val="sv-SE" w:eastAsia="zh-CN"/>
              </w:rPr>
              <w:t>[</w:t>
            </w:r>
            <w:r>
              <w:rPr>
                <w:lang w:val="sv-SE"/>
              </w:rPr>
              <w:t xml:space="preserve">Do not define requirements for the case </w:t>
            </w:r>
            <w:r>
              <w:t>if source RS in UL TCI state is not in DL active TCI state list]</w:t>
            </w:r>
          </w:p>
          <w:p>
            <w:pPr>
              <w:spacing w:after="120" w:line="240" w:lineRule="auto"/>
              <w:rPr>
                <w:rFonts w:eastAsiaTheme="minorEastAsia"/>
                <w:b/>
                <w:u w:val="single"/>
                <w:lang w:eastAsia="zh-CN"/>
              </w:rPr>
            </w:pPr>
            <w:r>
              <w:rPr>
                <w:rFonts w:eastAsiaTheme="minorEastAsia"/>
                <w:b/>
                <w:u w:val="single"/>
                <w:lang w:eastAsia="zh-CN"/>
              </w:rPr>
              <w:t>Issue 1-3-1 Definition of maintained PL-RS</w:t>
            </w:r>
          </w:p>
          <w:p>
            <w:pPr>
              <w:pStyle w:val="29"/>
              <w:numPr>
                <w:ilvl w:val="0"/>
                <w:numId w:val="4"/>
              </w:numPr>
              <w:overflowPunct/>
              <w:autoSpaceDE/>
              <w:autoSpaceDN/>
              <w:adjustRightInd/>
              <w:spacing w:after="120" w:line="240" w:lineRule="auto"/>
              <w:ind w:left="720" w:firstLineChars="0"/>
              <w:textAlignment w:val="auto"/>
              <w:rPr>
                <w:rFonts w:eastAsiaTheme="minorEastAsia"/>
                <w:bCs/>
                <w:lang w:eastAsia="zh-CN"/>
              </w:rPr>
            </w:pPr>
            <w:r>
              <w:rPr>
                <w:rFonts w:eastAsiaTheme="minorEastAsia"/>
                <w:bCs/>
                <w:highlight w:val="green"/>
                <w:lang w:eastAsia="zh-CN"/>
              </w:rPr>
              <w:t>Agreement</w:t>
            </w:r>
          </w:p>
          <w:p>
            <w:pPr>
              <w:pStyle w:val="29"/>
              <w:numPr>
                <w:ilvl w:val="1"/>
                <w:numId w:val="4"/>
              </w:numPr>
              <w:overflowPunct/>
              <w:autoSpaceDE/>
              <w:autoSpaceDN/>
              <w:adjustRightInd/>
              <w:spacing w:after="120" w:line="240" w:lineRule="auto"/>
              <w:ind w:left="1656" w:firstLineChars="0"/>
              <w:textAlignment w:val="auto"/>
              <w:rPr>
                <w:rFonts w:eastAsiaTheme="minorEastAsia"/>
                <w:lang w:val="sv-SE" w:eastAsia="zh-CN"/>
              </w:rPr>
            </w:pPr>
            <w:r>
              <w:rPr>
                <w:rFonts w:eastAsiaTheme="minorEastAsia"/>
                <w:lang w:val="sv-SE" w:eastAsia="zh-CN"/>
              </w:rPr>
              <w:t>Further discuss the detail wording.</w:t>
            </w:r>
          </w:p>
          <w:p>
            <w:pPr>
              <w:spacing w:after="120" w:line="240" w:lineRule="auto"/>
              <w:rPr>
                <w:rFonts w:cstheme="minorHAnsi"/>
                <w:b/>
                <w:bCs/>
                <w:u w:val="single"/>
                <w:lang w:eastAsia="zh-CN"/>
              </w:rPr>
            </w:pPr>
            <w:r>
              <w:rPr>
                <w:rFonts w:cstheme="minorHAnsi"/>
                <w:b/>
                <w:bCs/>
                <w:u w:val="single"/>
                <w:lang w:eastAsia="zh-CN"/>
              </w:rPr>
              <w:t>Issue 1-4-1 Update condition of common TCI state update based on shared RS</w:t>
            </w:r>
          </w:p>
          <w:p>
            <w:pPr>
              <w:pStyle w:val="29"/>
              <w:numPr>
                <w:ilvl w:val="0"/>
                <w:numId w:val="4"/>
              </w:numPr>
              <w:overflowPunct/>
              <w:autoSpaceDE/>
              <w:autoSpaceDN/>
              <w:adjustRightInd/>
              <w:spacing w:after="120" w:line="240" w:lineRule="auto"/>
              <w:ind w:left="720" w:firstLineChars="0"/>
              <w:textAlignment w:val="auto"/>
              <w:rPr>
                <w:rFonts w:eastAsiaTheme="minorEastAsia"/>
                <w:bCs/>
                <w:lang w:eastAsia="zh-CN"/>
              </w:rPr>
            </w:pPr>
            <w:r>
              <w:rPr>
                <w:rFonts w:eastAsiaTheme="minorEastAsia"/>
                <w:bCs/>
                <w:highlight w:val="green"/>
                <w:lang w:eastAsia="zh-CN"/>
              </w:rPr>
              <w:t>Agreement</w:t>
            </w:r>
          </w:p>
          <w:p>
            <w:pPr>
              <w:pStyle w:val="29"/>
              <w:numPr>
                <w:ilvl w:val="1"/>
                <w:numId w:val="4"/>
              </w:numPr>
              <w:overflowPunct/>
              <w:autoSpaceDE/>
              <w:autoSpaceDN/>
              <w:adjustRightInd/>
              <w:spacing w:after="120" w:line="240" w:lineRule="auto"/>
              <w:ind w:left="1656" w:firstLineChars="0"/>
              <w:textAlignment w:val="auto"/>
              <w:rPr>
                <w:rFonts w:cstheme="minorHAnsi"/>
                <w:b/>
                <w:bCs/>
                <w:u w:val="single"/>
                <w:lang w:eastAsia="zh-CN"/>
              </w:rPr>
            </w:pPr>
            <w:r>
              <w:rPr>
                <w:rFonts w:eastAsiaTheme="minorEastAsia"/>
                <w:lang w:val="sv-SE" w:eastAsia="zh-CN"/>
              </w:rPr>
              <w:t>Update the condition when DL/ UL unified TCI state switch requirements apply to common TCI – when all CCs in the list are configured with unifiedTCI-StateRef-r17 to the same serving cell and BWP</w:t>
            </w:r>
          </w:p>
          <w:p>
            <w:pPr>
              <w:spacing w:after="120" w:line="240" w:lineRule="auto"/>
              <w:rPr>
                <w:rFonts w:cstheme="minorHAnsi"/>
                <w:b/>
                <w:bCs/>
                <w:u w:val="single"/>
                <w:lang w:eastAsia="zh-CN"/>
              </w:rPr>
            </w:pPr>
            <w:r>
              <w:rPr>
                <w:rFonts w:cstheme="minorHAnsi"/>
                <w:b/>
                <w:bCs/>
                <w:u w:val="single"/>
                <w:lang w:eastAsia="zh-CN"/>
              </w:rPr>
              <w:t>Issue 1-5-1 TCI state list update delay if all target TCI states are unknown</w:t>
            </w:r>
          </w:p>
          <w:p>
            <w:pPr>
              <w:pStyle w:val="29"/>
              <w:numPr>
                <w:ilvl w:val="0"/>
                <w:numId w:val="4"/>
              </w:numPr>
              <w:overflowPunct/>
              <w:autoSpaceDE/>
              <w:autoSpaceDN/>
              <w:adjustRightInd/>
              <w:spacing w:after="120" w:line="240" w:lineRule="auto"/>
              <w:ind w:left="720" w:firstLineChars="0"/>
              <w:textAlignment w:val="auto"/>
              <w:rPr>
                <w:rFonts w:eastAsiaTheme="minorEastAsia"/>
                <w:bCs/>
                <w:lang w:eastAsia="zh-CN"/>
              </w:rPr>
            </w:pPr>
            <w:r>
              <w:rPr>
                <w:rFonts w:eastAsiaTheme="minorEastAsia"/>
                <w:bCs/>
                <w:highlight w:val="green"/>
                <w:lang w:eastAsia="zh-CN"/>
              </w:rPr>
              <w:t>Agreement</w:t>
            </w:r>
          </w:p>
          <w:p>
            <w:pPr>
              <w:pStyle w:val="29"/>
              <w:numPr>
                <w:ilvl w:val="1"/>
                <w:numId w:val="4"/>
              </w:numPr>
              <w:overflowPunct/>
              <w:autoSpaceDE/>
              <w:autoSpaceDN/>
              <w:adjustRightInd/>
              <w:spacing w:after="120" w:line="240" w:lineRule="auto"/>
              <w:ind w:left="1656" w:firstLineChars="0"/>
              <w:textAlignment w:val="auto"/>
              <w:rPr>
                <w:rFonts w:cstheme="minorHAnsi"/>
                <w:b/>
                <w:bCs/>
                <w:u w:val="single"/>
                <w:lang w:eastAsia="zh-CN"/>
              </w:rPr>
            </w:pPr>
            <w:r>
              <w:rPr>
                <w:rFonts w:eastAsiaTheme="minorEastAsia"/>
                <w:lang w:val="sv-SE" w:eastAsia="zh-CN"/>
              </w:rPr>
              <w:t>Remove the square bracket in previous agreement. If all target TCI states in the active TCI state list are unknown, no requirements are applicable.</w:t>
            </w:r>
          </w:p>
          <w:p>
            <w:pPr>
              <w:spacing w:after="120" w:line="240" w:lineRule="auto"/>
              <w:rPr>
                <w:b/>
                <w:bCs/>
                <w:u w:val="single"/>
                <w:lang w:val="en-US" w:eastAsia="zh-CN"/>
              </w:rPr>
            </w:pPr>
            <w:r>
              <w:rPr>
                <w:b/>
                <w:bCs/>
                <w:u w:val="single"/>
                <w:lang w:val="en-US" w:eastAsia="zh-CN"/>
              </w:rPr>
              <w:t>Issue 1-6-1: When SSB for BFD/CBD/RLM is overlapped with SSB for L1-RSRP of another cell</w:t>
            </w:r>
          </w:p>
          <w:p>
            <w:pPr>
              <w:pStyle w:val="29"/>
              <w:numPr>
                <w:ilvl w:val="0"/>
                <w:numId w:val="4"/>
              </w:numPr>
              <w:overflowPunct/>
              <w:autoSpaceDE/>
              <w:autoSpaceDN/>
              <w:adjustRightInd/>
              <w:spacing w:after="120" w:line="240" w:lineRule="auto"/>
              <w:ind w:left="720" w:firstLineChars="0"/>
              <w:textAlignment w:val="auto"/>
              <w:rPr>
                <w:rFonts w:eastAsiaTheme="minorEastAsia"/>
                <w:bCs/>
                <w:lang w:eastAsia="zh-CN"/>
              </w:rPr>
            </w:pPr>
            <w:r>
              <w:rPr>
                <w:rFonts w:eastAsiaTheme="minorEastAsia"/>
                <w:bCs/>
                <w:highlight w:val="green"/>
                <w:lang w:eastAsia="zh-CN"/>
              </w:rPr>
              <w:t>Agreement</w:t>
            </w:r>
          </w:p>
          <w:p>
            <w:pPr>
              <w:pStyle w:val="29"/>
              <w:numPr>
                <w:ilvl w:val="1"/>
                <w:numId w:val="4"/>
              </w:numPr>
              <w:overflowPunct/>
              <w:autoSpaceDE/>
              <w:autoSpaceDN/>
              <w:adjustRightInd/>
              <w:spacing w:after="120" w:line="240" w:lineRule="auto"/>
              <w:ind w:left="1656" w:firstLineChars="0"/>
              <w:textAlignment w:val="auto"/>
              <w:rPr>
                <w:lang w:val="sv-SE" w:eastAsia="zh-CN"/>
              </w:rPr>
            </w:pPr>
            <w:r>
              <w:rPr>
                <w:rFonts w:eastAsiaTheme="minorEastAsia"/>
                <w:lang w:val="sv-SE" w:eastAsia="zh-CN"/>
              </w:rPr>
              <w:t>Define Measurement restriction.</w:t>
            </w:r>
          </w:p>
          <w:p>
            <w:pPr>
              <w:spacing w:after="120" w:line="240" w:lineRule="auto"/>
              <w:rPr>
                <w:rFonts w:cstheme="minorHAnsi"/>
                <w:b/>
                <w:bCs/>
                <w:u w:val="single"/>
                <w:lang w:eastAsia="zh-CN"/>
              </w:rPr>
            </w:pPr>
            <w:r>
              <w:rPr>
                <w:rFonts w:cstheme="minorHAnsi"/>
                <w:b/>
                <w:bCs/>
                <w:u w:val="single"/>
                <w:lang w:eastAsia="zh-CN"/>
              </w:rPr>
              <w:t>Issue 1-7-1 Whether need clarification or update in RAN4 spec when PDCCH/PDSCH and SSB associated  different PCI are overlapped on the same RE</w:t>
            </w:r>
          </w:p>
          <w:p>
            <w:pPr>
              <w:pStyle w:val="29"/>
              <w:numPr>
                <w:ilvl w:val="0"/>
                <w:numId w:val="4"/>
              </w:numPr>
              <w:overflowPunct/>
              <w:autoSpaceDE/>
              <w:autoSpaceDN/>
              <w:adjustRightInd/>
              <w:spacing w:after="120" w:line="240" w:lineRule="auto"/>
              <w:ind w:left="720" w:firstLineChars="0"/>
              <w:textAlignment w:val="auto"/>
              <w:rPr>
                <w:rFonts w:eastAsiaTheme="minorEastAsia"/>
                <w:bCs/>
                <w:lang w:eastAsia="zh-CN"/>
              </w:rPr>
            </w:pPr>
            <w:r>
              <w:rPr>
                <w:rFonts w:eastAsiaTheme="minorEastAsia"/>
                <w:bCs/>
                <w:lang w:eastAsia="zh-CN"/>
              </w:rPr>
              <w:t>To be confirmed:</w:t>
            </w:r>
          </w:p>
          <w:p>
            <w:pPr>
              <w:pStyle w:val="29"/>
              <w:overflowPunct/>
              <w:autoSpaceDE/>
              <w:autoSpaceDN/>
              <w:adjustRightInd/>
              <w:spacing w:after="120" w:line="240" w:lineRule="auto"/>
              <w:ind w:left="720" w:firstLine="0" w:firstLineChars="0"/>
              <w:textAlignment w:val="auto"/>
              <w:rPr>
                <w:rFonts w:eastAsiaTheme="minorEastAsia"/>
                <w:bCs/>
                <w:lang w:eastAsia="zh-CN"/>
              </w:rPr>
            </w:pPr>
            <w:r>
              <w:rPr>
                <w:rFonts w:eastAsiaTheme="minorEastAsia"/>
                <w:bCs/>
                <w:lang w:eastAsia="zh-CN"/>
              </w:rPr>
              <w:t xml:space="preserve">- [If the TCI state of the PDSCH /PDCCH is associated to the SSB of the cell with different PCI, </w:t>
            </w:r>
          </w:p>
          <w:p>
            <w:pPr>
              <w:pStyle w:val="29"/>
              <w:overflowPunct/>
              <w:autoSpaceDE/>
              <w:autoSpaceDN/>
              <w:adjustRightInd/>
              <w:spacing w:after="120" w:line="240" w:lineRule="auto"/>
              <w:ind w:left="720" w:firstLine="0" w:firstLineChars="0"/>
              <w:textAlignment w:val="auto"/>
              <w:rPr>
                <w:rFonts w:hint="default"/>
                <w:highlight w:val="none"/>
                <w:lang w:val="en-US" w:eastAsia="zh-CN"/>
              </w:rPr>
            </w:pPr>
            <w:r>
              <w:rPr>
                <w:rFonts w:eastAsiaTheme="minorEastAsia"/>
                <w:bCs/>
                <w:lang w:eastAsia="zh-CN"/>
              </w:rPr>
              <w:t xml:space="preserve"> -</w:t>
            </w:r>
            <w:r>
              <w:rPr>
                <w:rFonts w:eastAsiaTheme="minorEastAsia"/>
                <w:bCs/>
                <w:lang w:eastAsia="zh-CN"/>
              </w:rPr>
              <w:tab/>
            </w:r>
            <w:r>
              <w:rPr>
                <w:rFonts w:eastAsiaTheme="minorEastAsia"/>
                <w:bCs/>
                <w:lang w:eastAsia="zh-CN"/>
              </w:rPr>
              <w:t>UE is not expected to receive PDSCH/PDCCH on the symbols corresponding to the SSB indexes configured for L1-RSRP measurement on the serving cell]</w:t>
            </w:r>
            <w:r>
              <w:rPr>
                <w:rFonts w:hint="eastAsia" w:eastAsiaTheme="minorEastAsia"/>
                <w:bCs/>
                <w:lang w:eastAsia="zh-CN"/>
              </w:rPr>
              <w:t>.</w:t>
            </w:r>
          </w:p>
        </w:tc>
      </w:tr>
    </w:tbl>
    <w:p>
      <w:pPr>
        <w:pStyle w:val="11"/>
        <w:tabs>
          <w:tab w:val="left" w:pos="226"/>
          <w:tab w:val="left" w:pos="284"/>
          <w:tab w:val="left" w:pos="5103"/>
        </w:tabs>
        <w:snapToGrid w:val="0"/>
        <w:spacing w:before="156" w:beforeLines="50"/>
        <w:rPr>
          <w:rFonts w:hint="eastAsia"/>
          <w:sz w:val="21"/>
          <w:szCs w:val="21"/>
          <w:lang w:val="en-US" w:eastAsia="zh-CN"/>
        </w:rPr>
      </w:pPr>
      <w:r>
        <w:rPr>
          <w:rFonts w:hint="eastAsia" w:eastAsia="宋体"/>
          <w:color w:val="auto"/>
          <w:sz w:val="21"/>
          <w:szCs w:val="21"/>
          <w:lang w:val="en-US" w:eastAsia="zh-CN"/>
        </w:rPr>
        <w:t xml:space="preserve">However still some issues are suspending. </w:t>
      </w:r>
      <w:r>
        <w:rPr>
          <w:rFonts w:hint="eastAsia"/>
          <w:sz w:val="21"/>
          <w:szCs w:val="21"/>
          <w:lang w:val="en-US" w:eastAsia="zh-CN"/>
        </w:rPr>
        <w:t>Further discussion are needed. In this document, we give our analysis on the following issues.</w:t>
      </w:r>
    </w:p>
    <w:p>
      <w:pPr>
        <w:pStyle w:val="16"/>
        <w:keepNext w:val="0"/>
        <w:keepLines w:val="0"/>
        <w:pageBreakBefore w:val="0"/>
        <w:numPr>
          <w:ilvl w:val="1"/>
          <w:numId w:val="5"/>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cs="Times New Roman"/>
          <w:strike w:val="0"/>
          <w:dstrike w:val="0"/>
          <w:color w:val="auto"/>
          <w:sz w:val="20"/>
          <w:szCs w:val="20"/>
          <w:lang w:val="en-US" w:eastAsia="zh-CN" w:bidi="ar-SA"/>
        </w:rPr>
      </w:pPr>
      <w:r>
        <w:rPr>
          <w:rFonts w:hint="eastAsia" w:ascii="Times New Roman" w:hAnsi="Times New Roman" w:cs="Times New Roman"/>
          <w:strike w:val="0"/>
          <w:dstrike w:val="0"/>
          <w:color w:val="auto"/>
          <w:sz w:val="20"/>
          <w:szCs w:val="20"/>
          <w:lang w:val="en-US" w:eastAsia="zh-CN" w:bidi="ar-SA"/>
        </w:rPr>
        <w:t>Unified TCI state</w:t>
      </w:r>
    </w:p>
    <w:p>
      <w:pPr>
        <w:pStyle w:val="16"/>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Whether UE need to track UL time/frequency for UL TCI state activation</w:t>
      </w:r>
    </w:p>
    <w:p>
      <w:pPr>
        <w:pStyle w:val="16"/>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MAC-CE based UL TCI state switching delay when SSB is indicated as PL-RS in UL TCI state for FR2</w:t>
      </w:r>
    </w:p>
    <w:p>
      <w:pPr>
        <w:pStyle w:val="16"/>
        <w:keepNext w:val="0"/>
        <w:keepLines w:val="0"/>
        <w:pageBreakBefore w:val="0"/>
        <w:numPr>
          <w:ilvl w:val="1"/>
          <w:numId w:val="5"/>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cs="Times New Roman"/>
          <w:strike w:val="0"/>
          <w:dstrike w:val="0"/>
          <w:color w:val="auto"/>
          <w:sz w:val="20"/>
          <w:szCs w:val="20"/>
          <w:lang w:val="en-US" w:eastAsia="zh-CN" w:bidi="ar-SA"/>
        </w:rPr>
      </w:pPr>
      <w:bookmarkStart w:id="0" w:name="OLE_LINK2"/>
      <w:bookmarkStart w:id="1" w:name="OLE_LINK1"/>
      <w:r>
        <w:rPr>
          <w:rFonts w:hint="default" w:ascii="Times New Roman" w:hAnsi="Times New Roman" w:cs="Times New Roman"/>
          <w:strike w:val="0"/>
          <w:dstrike w:val="0"/>
          <w:color w:val="auto"/>
          <w:sz w:val="20"/>
          <w:szCs w:val="20"/>
          <w:lang w:val="en-US" w:eastAsia="zh-CN" w:bidi="ar-SA"/>
        </w:rPr>
        <w:t>Inter-cell beam measurement</w:t>
      </w:r>
    </w:p>
    <w:p>
      <w:pPr>
        <w:pStyle w:val="16"/>
        <w:keepNext w:val="0"/>
        <w:keepLines w:val="0"/>
        <w:pageBreakBefore w:val="0"/>
        <w:numPr>
          <w:ilvl w:val="0"/>
          <w:numId w:val="7"/>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strike w:val="0"/>
          <w:dstrike w:val="0"/>
          <w:color w:val="auto"/>
          <w:sz w:val="20"/>
          <w:szCs w:val="20"/>
          <w:highlight w:val="none"/>
          <w:lang w:val="en-US" w:eastAsia="zh-CN" w:bidi="ar-SA"/>
        </w:rPr>
      </w:pPr>
      <w:r>
        <w:rPr>
          <w:rFonts w:hint="eastAsia" w:ascii="Times New Roman" w:hAnsi="Times New Roman" w:cs="Times New Roman"/>
          <w:strike w:val="0"/>
          <w:dstrike w:val="0"/>
          <w:color w:val="auto"/>
          <w:sz w:val="20"/>
          <w:szCs w:val="20"/>
          <w:highlight w:val="none"/>
          <w:lang w:val="en-US" w:eastAsia="zh-CN" w:bidi="ar-SA"/>
        </w:rPr>
        <w:t>Whether need clarification or update in RAN4 spec when SSB And PDCCH/PDSCH Are overlapped on the same RE</w:t>
      </w:r>
    </w:p>
    <w:bookmarkEnd w:id="0"/>
    <w:bookmarkEnd w:id="1"/>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pStyle w:val="3"/>
        <w:bidi w:val="0"/>
        <w:rPr>
          <w:rFonts w:hint="default"/>
          <w:color w:val="auto"/>
          <w:sz w:val="28"/>
          <w:szCs w:val="28"/>
          <w:highlight w:val="none"/>
          <w:lang w:val="en-US" w:eastAsia="zh-CN"/>
        </w:rPr>
      </w:pPr>
      <w:r>
        <w:rPr>
          <w:rFonts w:hint="eastAsia"/>
          <w:color w:val="auto"/>
          <w:sz w:val="28"/>
          <w:szCs w:val="28"/>
          <w:highlight w:val="none"/>
          <w:lang w:val="en-US" w:eastAsia="zh-CN"/>
        </w:rPr>
        <w:t>2.1 Unified TCI state</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b/>
          <w:bCs/>
          <w:i w:val="0"/>
          <w:iCs w:val="0"/>
          <w:sz w:val="21"/>
          <w:szCs w:val="21"/>
          <w:u w:val="single"/>
          <w:lang w:val="en-US" w:eastAsia="zh-CN"/>
        </w:rPr>
      </w:pPr>
      <w:r>
        <w:rPr>
          <w:rFonts w:hint="eastAsia"/>
          <w:b/>
          <w:bCs/>
          <w:i w:val="0"/>
          <w:iCs w:val="0"/>
          <w:sz w:val="21"/>
          <w:szCs w:val="21"/>
          <w:u w:val="single"/>
          <w:lang w:val="en-US" w:eastAsia="zh-CN"/>
        </w:rPr>
        <w:t>W</w:t>
      </w:r>
      <w:r>
        <w:rPr>
          <w:rFonts w:hint="default"/>
          <w:b/>
          <w:bCs/>
          <w:i w:val="0"/>
          <w:iCs w:val="0"/>
          <w:sz w:val="21"/>
          <w:szCs w:val="21"/>
          <w:u w:val="single"/>
          <w:lang w:val="en-US" w:eastAsia="zh-CN"/>
        </w:rPr>
        <w:t>hether UE need to track UL time/frequency for UL TCI state activation</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eastAsia="MS Mincho" w:cs="Times New Roman"/>
          <w:sz w:val="20"/>
          <w:szCs w:val="24"/>
          <w:lang w:val="en-US" w:eastAsia="zh-CN" w:bidi="ar-SA"/>
        </w:rPr>
      </w:pPr>
      <w:r>
        <w:rPr>
          <w:rFonts w:hint="eastAsia" w:ascii="Times New Roman" w:hAnsi="Times New Roman" w:eastAsia="MS Mincho" w:cs="Times New Roman"/>
          <w:sz w:val="20"/>
          <w:szCs w:val="24"/>
          <w:lang w:val="en-US" w:eastAsia="zh-CN" w:bidi="ar-SA"/>
        </w:rPr>
        <w:t>Around this issue, to move forward step by step, in 104bis meeting, the discussion was split into two cases, i.e. the case of source RS in UL TCI state is in the DL active TCI list and the case of source RS in UL TCI state is not in the DL active TCI list respectively.</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eastAsia="MS Mincho" w:cs="Times New Roman"/>
          <w:sz w:val="20"/>
          <w:szCs w:val="24"/>
          <w:lang w:val="en-US" w:eastAsia="zh-CN" w:bidi="ar-SA"/>
        </w:rPr>
      </w:pPr>
      <w:r>
        <w:rPr>
          <w:rFonts w:hint="eastAsia" w:ascii="Times New Roman" w:hAnsi="Times New Roman" w:eastAsia="MS Mincho" w:cs="Times New Roman"/>
          <w:sz w:val="20"/>
          <w:szCs w:val="24"/>
          <w:lang w:val="en-US" w:eastAsia="zh-CN" w:bidi="ar-SA"/>
        </w:rPr>
        <w:t>For the former case, not any controversy, the following agreement was achieved: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0"/>
              </w:numPr>
              <w:overflowPunct/>
              <w:autoSpaceDE/>
              <w:autoSpaceDN/>
              <w:adjustRightInd/>
              <w:spacing w:after="120" w:line="259" w:lineRule="auto"/>
              <w:textAlignment w:val="auto"/>
              <w:rPr>
                <w:rFonts w:eastAsiaTheme="minorEastAsia"/>
                <w:lang w:eastAsia="zh-CN"/>
              </w:rPr>
            </w:pPr>
            <w:r>
              <w:rPr>
                <w:rFonts w:eastAsiaTheme="minorEastAsia"/>
                <w:b/>
                <w:u w:val="single"/>
                <w:lang w:eastAsia="zh-CN"/>
              </w:rPr>
              <w:t>If source RS in UL TCI state is in the DL active TCI list:</w:t>
            </w:r>
          </w:p>
          <w:p>
            <w:pPr>
              <w:pStyle w:val="29"/>
              <w:numPr>
                <w:ilvl w:val="0"/>
                <w:numId w:val="4"/>
              </w:numPr>
              <w:overflowPunct/>
              <w:autoSpaceDE/>
              <w:autoSpaceDN/>
              <w:adjustRightInd/>
              <w:spacing w:after="120" w:line="259" w:lineRule="auto"/>
              <w:ind w:left="740" w:firstLineChars="0"/>
              <w:textAlignment w:val="auto"/>
              <w:rPr>
                <w:rFonts w:eastAsiaTheme="minorEastAsia"/>
                <w:lang w:eastAsia="zh-CN"/>
              </w:rPr>
            </w:pPr>
            <w:r>
              <w:rPr>
                <w:rFonts w:eastAsiaTheme="minorEastAsia"/>
                <w:highlight w:val="green"/>
                <w:lang w:eastAsia="zh-CN"/>
              </w:rPr>
              <w:t>Agreements</w:t>
            </w:r>
            <w:r>
              <w:rPr>
                <w:rFonts w:eastAsiaTheme="minorEastAsia"/>
                <w:lang w:eastAsia="zh-CN"/>
              </w:rPr>
              <w:t>:</w:t>
            </w:r>
          </w:p>
          <w:p>
            <w:pPr>
              <w:pStyle w:val="29"/>
              <w:numPr>
                <w:ilvl w:val="1"/>
                <w:numId w:val="4"/>
              </w:numPr>
              <w:overflowPunct/>
              <w:autoSpaceDE/>
              <w:autoSpaceDN/>
              <w:adjustRightInd/>
              <w:spacing w:after="120" w:line="259" w:lineRule="auto"/>
              <w:ind w:left="1656" w:firstLineChars="0"/>
              <w:textAlignment w:val="auto"/>
              <w:rPr>
                <w:rFonts w:hint="default" w:ascii="Times New Roman" w:hAnsi="Times New Roman" w:eastAsia="MS Mincho" w:cs="Times New Roman"/>
                <w:sz w:val="20"/>
                <w:szCs w:val="24"/>
                <w:vertAlign w:val="baseline"/>
                <w:lang w:val="en-US" w:eastAsia="zh-CN" w:bidi="ar-SA"/>
              </w:rPr>
            </w:pPr>
            <w:r>
              <w:rPr>
                <w:rFonts w:eastAsiaTheme="minorEastAsia"/>
                <w:lang w:val="sv-SE" w:eastAsia="zh-CN"/>
              </w:rPr>
              <w:t xml:space="preserve">No additional time/frequency tracking for the source RS in UL TCI state is needed during TCI state switch </w:t>
            </w:r>
          </w:p>
        </w:tc>
      </w:tr>
    </w:tbl>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eastAsia="MS Mincho" w:cs="Times New Roman"/>
          <w:sz w:val="20"/>
          <w:szCs w:val="24"/>
          <w:lang w:val="en-US" w:eastAsia="zh-CN" w:bidi="ar-SA"/>
        </w:rPr>
      </w:pPr>
      <w:r>
        <w:rPr>
          <w:rFonts w:hint="eastAsia" w:ascii="Times New Roman" w:hAnsi="Times New Roman" w:eastAsia="MS Mincho" w:cs="Times New Roman"/>
          <w:sz w:val="20"/>
          <w:szCs w:val="24"/>
          <w:lang w:val="en-US" w:eastAsia="zh-CN" w:bidi="ar-SA"/>
        </w:rPr>
        <w:t>Firstly it can be shown that the latter case is possible, i.e. the source RS of UL TCI state is not any source RS in the DL active TCI state list. Under such case, we should address the acquisition of time and frequency tracking. In current UL spatial relation switching, not any UL time tracking is necessary since of UE can always obtain UL time through DL timing. But here it has been identified that the source RS of the UL TCI state is not any source RS of the active DL TCI state, so UE may not maintain the timing of this target UL TCI state. If without any time/frequency tracking performed, how to guarantee the accurate UL transmission timing? So we prefer performing additional time/frequency tracking or check this with RAN1.</w:t>
      </w:r>
    </w:p>
    <w:p>
      <w:pPr>
        <w:pStyle w:val="11"/>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highlight w:val="lightGray"/>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Under mTRP scenario, </w:t>
      </w:r>
      <w:r>
        <w:rPr>
          <w:rFonts w:hint="eastAsia" w:eastAsia="宋体" w:cs="Times New Roman"/>
          <w:b/>
          <w:bCs/>
          <w:color w:val="auto"/>
          <w:sz w:val="21"/>
          <w:szCs w:val="21"/>
          <w:highlight w:val="none"/>
          <w:lang w:val="en-US" w:eastAsia="zh-CN" w:bidi="ar-SA"/>
        </w:rPr>
        <w:t>i</w:t>
      </w:r>
      <w:r>
        <w:rPr>
          <w:rFonts w:hint="eastAsia" w:ascii="Times New Roman" w:hAnsi="Times New Roman" w:eastAsia="宋体" w:cs="Times New Roman"/>
          <w:b/>
          <w:bCs/>
          <w:color w:val="auto"/>
          <w:sz w:val="21"/>
          <w:szCs w:val="21"/>
          <w:highlight w:val="none"/>
          <w:lang w:val="en-US" w:eastAsia="zh-CN" w:bidi="ar-SA"/>
        </w:rPr>
        <w:t>f source RS in UL TCI state is not in the DL active TCI list</w:t>
      </w:r>
      <w:r>
        <w:rPr>
          <w:rFonts w:hint="eastAsia" w:eastAsia="宋体" w:cs="Times New Roman"/>
          <w:b/>
          <w:bCs/>
          <w:color w:val="auto"/>
          <w:sz w:val="21"/>
          <w:szCs w:val="21"/>
          <w:highlight w:val="none"/>
          <w:lang w:val="en-US" w:eastAsia="zh-CN" w:bidi="ar-SA"/>
        </w:rPr>
        <w:t>, the acquisition of time and frequency tracking should be addressed. Performing additional time/frequency tracking is necessary or we can check with RAN1.</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b/>
          <w:bCs/>
          <w:i w:val="0"/>
          <w:iCs w:val="0"/>
          <w:sz w:val="21"/>
          <w:szCs w:val="21"/>
          <w:u w:val="single"/>
          <w:lang w:val="en-US" w:eastAsia="zh-CN"/>
        </w:rPr>
      </w:pPr>
      <w:r>
        <w:rPr>
          <w:rFonts w:hint="default"/>
          <w:b/>
          <w:bCs/>
          <w:i w:val="0"/>
          <w:iCs w:val="0"/>
          <w:sz w:val="21"/>
          <w:szCs w:val="21"/>
          <w:u w:val="single"/>
          <w:lang w:val="en-US" w:eastAsia="zh-CN"/>
        </w:rPr>
        <w:t>MAC-CE based UL TCI state switching delay when SSB is indicated as PL-RS in UL TCI state for FR2</w:t>
      </w:r>
    </w:p>
    <w:p>
      <w:pPr>
        <w:pStyle w:val="11"/>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This issue has been discussed for several meetings. Even though not any conclusion achieved, the following options were kept in the WF:</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8"/>
              </w:numPr>
              <w:overflowPunct/>
              <w:autoSpaceDE/>
              <w:autoSpaceDN/>
              <w:adjustRightInd/>
              <w:spacing w:after="120" w:line="259" w:lineRule="auto"/>
              <w:ind w:left="936" w:leftChars="0" w:hanging="360" w:firstLineChars="0"/>
              <w:textAlignment w:val="auto"/>
              <w:rPr>
                <w:rFonts w:eastAsiaTheme="minorEastAsia"/>
                <w:lang w:val="sv-SE" w:eastAsia="zh-CN"/>
              </w:rPr>
            </w:pPr>
            <w:r>
              <w:rPr>
                <w:rFonts w:eastAsiaTheme="minorEastAsia"/>
                <w:lang w:val="sv-SE" w:eastAsia="zh-CN"/>
              </w:rPr>
              <w:t>Proposal 1</w:t>
            </w:r>
          </w:p>
          <w:p>
            <w:pPr>
              <w:pStyle w:val="29"/>
              <w:numPr>
                <w:ilvl w:val="1"/>
                <w:numId w:val="4"/>
              </w:numPr>
              <w:overflowPunct/>
              <w:autoSpaceDE/>
              <w:autoSpaceDN/>
              <w:adjustRightInd/>
              <w:spacing w:after="120" w:line="259" w:lineRule="auto"/>
              <w:ind w:left="1656" w:leftChars="0" w:hanging="360" w:firstLineChars="0"/>
              <w:textAlignment w:val="auto"/>
              <w:rPr>
                <w:iCs/>
                <w:lang w:eastAsia="zh-CN"/>
              </w:rPr>
            </w:pPr>
            <w:r>
              <w:rPr>
                <w:iCs/>
                <w:lang w:eastAsia="zh-CN"/>
              </w:rPr>
              <w:t>When PL-RS in UL TCI state switch is SSB in FR2, longer delay is expected.</w:t>
            </w:r>
          </w:p>
          <w:p>
            <w:pPr>
              <w:pStyle w:val="29"/>
              <w:numPr>
                <w:ilvl w:val="1"/>
                <w:numId w:val="4"/>
              </w:numPr>
              <w:overflowPunct/>
              <w:autoSpaceDE/>
              <w:autoSpaceDN/>
              <w:adjustRightInd/>
              <w:spacing w:after="120" w:line="259" w:lineRule="auto"/>
              <w:ind w:left="1656" w:leftChars="0" w:hanging="360" w:firstLineChars="0"/>
              <w:textAlignment w:val="auto"/>
              <w:rPr>
                <w:iCs/>
                <w:lang w:eastAsia="zh-CN"/>
              </w:rPr>
            </w:pPr>
            <w:r>
              <w:rPr>
                <w:iCs/>
                <w:lang w:eastAsia="zh-CN"/>
              </w:rPr>
              <w:t>If no consensus can be achieved in RAN4, no requirements are defined for this case.</w:t>
            </w:r>
          </w:p>
          <w:p>
            <w:pPr>
              <w:pStyle w:val="29"/>
              <w:numPr>
                <w:ilvl w:val="0"/>
                <w:numId w:val="8"/>
              </w:numPr>
              <w:overflowPunct/>
              <w:autoSpaceDE/>
              <w:autoSpaceDN/>
              <w:adjustRightInd/>
              <w:spacing w:after="120" w:line="259" w:lineRule="auto"/>
              <w:ind w:left="936" w:leftChars="0" w:hanging="360" w:firstLineChars="0"/>
              <w:textAlignment w:val="auto"/>
              <w:rPr>
                <w:rFonts w:eastAsiaTheme="minorEastAsia"/>
                <w:lang w:val="sv-SE" w:eastAsia="zh-CN"/>
              </w:rPr>
            </w:pPr>
            <w:r>
              <w:rPr>
                <w:rFonts w:eastAsiaTheme="minorEastAsia"/>
                <w:lang w:val="sv-SE" w:eastAsia="zh-CN"/>
              </w:rPr>
              <w:t>Proposal 2</w:t>
            </w:r>
          </w:p>
          <w:p>
            <w:pPr>
              <w:pStyle w:val="29"/>
              <w:numPr>
                <w:ilvl w:val="1"/>
                <w:numId w:val="4"/>
              </w:numPr>
              <w:overflowPunct/>
              <w:autoSpaceDE/>
              <w:autoSpaceDN/>
              <w:adjustRightInd/>
              <w:spacing w:after="120" w:line="259" w:lineRule="auto"/>
              <w:ind w:left="1656" w:leftChars="0" w:hanging="360" w:firstLineChars="0"/>
              <w:textAlignment w:val="auto"/>
              <w:rPr>
                <w:iCs/>
                <w:lang w:eastAsia="zh-CN"/>
              </w:rPr>
            </w:pPr>
            <w:r>
              <w:rPr>
                <w:iCs/>
                <w:lang w:eastAsia="zh-CN"/>
              </w:rPr>
              <w:t>Reuse the existing delay requirement of MAC CE based UL TCI state switch.</w:t>
            </w:r>
          </w:p>
          <w:p>
            <w:pPr>
              <w:pStyle w:val="29"/>
              <w:numPr>
                <w:ilvl w:val="0"/>
                <w:numId w:val="8"/>
              </w:numPr>
              <w:overflowPunct/>
              <w:autoSpaceDE/>
              <w:autoSpaceDN/>
              <w:adjustRightInd/>
              <w:spacing w:after="120" w:line="259" w:lineRule="auto"/>
              <w:ind w:left="936" w:leftChars="0" w:hanging="360" w:firstLineChars="0"/>
              <w:textAlignment w:val="auto"/>
              <w:rPr>
                <w:rFonts w:eastAsiaTheme="minorEastAsia"/>
                <w:lang w:val="sv-SE" w:eastAsia="zh-CN"/>
              </w:rPr>
            </w:pPr>
            <w:r>
              <w:rPr>
                <w:rFonts w:eastAsiaTheme="minorEastAsia"/>
                <w:lang w:val="sv-SE" w:eastAsia="zh-CN"/>
              </w:rPr>
              <w:t>Proposal 3</w:t>
            </w:r>
          </w:p>
          <w:p>
            <w:pPr>
              <w:pStyle w:val="29"/>
              <w:numPr>
                <w:ilvl w:val="1"/>
                <w:numId w:val="4"/>
              </w:numPr>
              <w:overflowPunct/>
              <w:autoSpaceDE/>
              <w:autoSpaceDN/>
              <w:adjustRightInd/>
              <w:spacing w:after="120" w:line="259" w:lineRule="auto"/>
              <w:ind w:left="1656" w:leftChars="0" w:hanging="360" w:firstLineChars="0"/>
              <w:textAlignment w:val="auto"/>
              <w:rPr>
                <w:iCs/>
                <w:lang w:eastAsia="zh-CN"/>
              </w:rPr>
            </w:pPr>
            <w:r>
              <w:rPr>
                <w:iCs/>
                <w:lang w:eastAsia="zh-CN"/>
              </w:rPr>
              <w:t>Prefer to reuse the existing delay requirement of MAC CE based UL TCI state switch. However to move forward, a compromised solution is needed, e.g. allowing a clear but not too long additional latency.</w:t>
            </w:r>
          </w:p>
          <w:p>
            <w:pPr>
              <w:pStyle w:val="29"/>
              <w:numPr>
                <w:ilvl w:val="0"/>
                <w:numId w:val="8"/>
              </w:numPr>
              <w:overflowPunct/>
              <w:autoSpaceDE/>
              <w:autoSpaceDN/>
              <w:adjustRightInd/>
              <w:spacing w:after="120" w:line="259" w:lineRule="auto"/>
              <w:ind w:left="936" w:leftChars="0" w:hanging="360" w:firstLineChars="0"/>
              <w:textAlignment w:val="auto"/>
              <w:rPr>
                <w:rFonts w:eastAsiaTheme="minorEastAsia"/>
                <w:lang w:val="sv-SE" w:eastAsia="zh-CN"/>
              </w:rPr>
            </w:pPr>
            <w:r>
              <w:rPr>
                <w:rFonts w:eastAsiaTheme="minorEastAsia"/>
                <w:lang w:val="sv-SE" w:eastAsia="zh-CN"/>
              </w:rPr>
              <w:t>Proposal</w:t>
            </w:r>
            <w:r>
              <w:rPr>
                <w:rFonts w:eastAsiaTheme="minorEastAsia"/>
                <w:bCs/>
                <w:lang w:eastAsia="zh-CN"/>
              </w:rPr>
              <w:t xml:space="preserve"> </w:t>
            </w:r>
            <w:r>
              <w:rPr>
                <w:rFonts w:eastAsiaTheme="minorEastAsia"/>
                <w:lang w:val="sv-SE" w:eastAsia="zh-CN"/>
              </w:rPr>
              <w:t>4</w:t>
            </w:r>
          </w:p>
          <w:p>
            <w:pPr>
              <w:pStyle w:val="29"/>
              <w:numPr>
                <w:ilvl w:val="1"/>
                <w:numId w:val="4"/>
              </w:numPr>
              <w:overflowPunct/>
              <w:autoSpaceDE/>
              <w:autoSpaceDN/>
              <w:adjustRightInd/>
              <w:spacing w:after="120" w:line="259" w:lineRule="auto"/>
              <w:ind w:left="1656" w:leftChars="0" w:hanging="360" w:firstLineChars="0"/>
              <w:textAlignment w:val="auto"/>
              <w:rPr>
                <w:lang w:eastAsia="zh-CN"/>
              </w:rPr>
            </w:pPr>
            <w:r>
              <w:rPr>
                <w:lang w:eastAsia="zh-CN"/>
              </w:rPr>
              <w:t>There is no need for beam sweeping for PL-RS measurements in FR2 if the PL-RS is SSB (assuming UE is having no more than 4 different PL-RS).</w:t>
            </w:r>
          </w:p>
          <w:p>
            <w:pPr>
              <w:pStyle w:val="29"/>
              <w:numPr>
                <w:ilvl w:val="1"/>
                <w:numId w:val="4"/>
              </w:numPr>
              <w:overflowPunct/>
              <w:autoSpaceDE/>
              <w:autoSpaceDN/>
              <w:adjustRightInd/>
              <w:spacing w:after="120" w:line="259" w:lineRule="auto"/>
              <w:ind w:left="1656" w:leftChars="0" w:hanging="360" w:firstLineChars="0"/>
              <w:textAlignment w:val="auto"/>
              <w:rPr>
                <w:lang w:eastAsia="zh-CN"/>
              </w:rPr>
            </w:pPr>
            <w:r>
              <w:rPr>
                <w:lang w:eastAsia="zh-CN"/>
              </w:rPr>
              <w:t>RAN4 does not discuss UE requirements for the scenario where the UE is configured with more than 4 different PL-RS for all active UL (or joint) TCI states.</w:t>
            </w:r>
          </w:p>
          <w:p>
            <w:pPr>
              <w:pStyle w:val="29"/>
              <w:numPr>
                <w:ilvl w:val="1"/>
                <w:numId w:val="4"/>
              </w:numPr>
              <w:overflowPunct/>
              <w:autoSpaceDE/>
              <w:autoSpaceDN/>
              <w:adjustRightInd/>
              <w:spacing w:after="120" w:line="259" w:lineRule="auto"/>
              <w:ind w:left="1656" w:leftChars="0" w:hanging="360" w:firstLineChars="0"/>
              <w:textAlignment w:val="auto"/>
              <w:rPr>
                <w:lang w:eastAsia="zh-CN"/>
              </w:rPr>
            </w:pPr>
            <w:r>
              <w:rPr>
                <w:lang w:eastAsia="zh-CN"/>
              </w:rPr>
              <w:t xml:space="preserve">There is no need for any additional measurements or beam sweeping at UL TCI state switch if the associated PL-RS is maintained by the UE. </w:t>
            </w:r>
          </w:p>
          <w:p>
            <w:pPr>
              <w:pStyle w:val="29"/>
              <w:numPr>
                <w:ilvl w:val="1"/>
                <w:numId w:val="4"/>
              </w:numPr>
              <w:overflowPunct/>
              <w:autoSpaceDE/>
              <w:autoSpaceDN/>
              <w:adjustRightInd/>
              <w:spacing w:after="120" w:line="259" w:lineRule="auto"/>
              <w:ind w:left="1656" w:leftChars="0" w:hanging="360" w:firstLineChars="0"/>
              <w:textAlignment w:val="auto"/>
              <w:rPr>
                <w:lang w:eastAsia="zh-CN"/>
              </w:rPr>
            </w:pPr>
            <w:r>
              <w:rPr>
                <w:lang w:eastAsia="zh-CN"/>
              </w:rPr>
              <w:t xml:space="preserve">The number of samples will not always be fixed as 5 samples when PL-RS is not maintained. </w:t>
            </w:r>
          </w:p>
          <w:p>
            <w:pPr>
              <w:pStyle w:val="29"/>
              <w:numPr>
                <w:ilvl w:val="1"/>
                <w:numId w:val="4"/>
              </w:numPr>
              <w:overflowPunct/>
              <w:autoSpaceDE/>
              <w:autoSpaceDN/>
              <w:adjustRightInd/>
              <w:spacing w:after="120" w:line="259" w:lineRule="auto"/>
              <w:ind w:left="1656" w:leftChars="0" w:hanging="360" w:firstLineChars="0"/>
              <w:textAlignment w:val="auto"/>
              <w:rPr>
                <w:rFonts w:hint="default"/>
                <w:b/>
                <w:bCs/>
                <w:i w:val="0"/>
                <w:iCs w:val="0"/>
                <w:sz w:val="21"/>
                <w:szCs w:val="21"/>
                <w:highlight w:val="lightGray"/>
                <w:u w:val="single"/>
                <w:vertAlign w:val="baseline"/>
                <w:lang w:val="en-US" w:eastAsia="zh-CN"/>
              </w:rPr>
            </w:pPr>
            <w:r>
              <w:rPr>
                <w:lang w:eastAsia="zh-CN"/>
              </w:rPr>
              <w:t>RAN4 to add [] around the number of samples needed if NM=1.</w:t>
            </w:r>
          </w:p>
        </w:tc>
      </w:tr>
    </w:tbl>
    <w:p>
      <w:pPr>
        <w:pStyle w:val="11"/>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The controversial point is whether additional Rx beam sweeping for PL-RS measurement necessary or not. When a SSB is indicated as PL-RS in target UL TCI state, which means the source RS is the SSB or QCL-Ded with the SSB since beam alignment should be guaranteed. It should be emphasized once more that beam alignment is the precondition based on previous agreements. We provide analysis for known case and unknown case respectively.</w:t>
      </w:r>
    </w:p>
    <w:p>
      <w:pPr>
        <w:pStyle w:val="11"/>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For known case, UE has identified the L1-RSRP and beam information of the source RS, so it is not necessary for UE to perform L1-RSRP measurement, so the requirement should be:</w:t>
      </w:r>
    </w:p>
    <w:p>
      <w:pPr>
        <w:pStyle w:val="29"/>
        <w:widowControl w:val="0"/>
        <w:numPr>
          <w:ilvl w:val="1"/>
          <w:numId w:val="4"/>
        </w:numPr>
        <w:overflowPunct/>
        <w:autoSpaceDE/>
        <w:autoSpaceDN/>
        <w:adjustRightInd/>
        <w:ind w:firstLineChars="0"/>
        <w:textAlignment w:val="auto"/>
        <w:rPr>
          <w:lang w:eastAsia="ja-JP"/>
        </w:rPr>
      </w:pPr>
      <w:r>
        <w:rPr>
          <w:rFonts w:eastAsia="Times New Roman"/>
          <w:bCs/>
          <w:szCs w:val="21"/>
        </w:rPr>
        <w:t>T</w:t>
      </w:r>
      <w:r>
        <w:rPr>
          <w:rFonts w:eastAsia="Times New Roman"/>
          <w:bCs/>
          <w:szCs w:val="21"/>
          <w:vertAlign w:val="subscript"/>
        </w:rPr>
        <w:t>HARQ</w:t>
      </w:r>
      <w:r>
        <w:rPr>
          <w:rFonts w:eastAsia="Times New Roman"/>
          <w:bCs/>
          <w:szCs w:val="21"/>
        </w:rPr>
        <w:t xml:space="preserve"> + 3ms + NM*(T</w:t>
      </w:r>
      <w:r>
        <w:rPr>
          <w:rFonts w:eastAsia="Times New Roman"/>
          <w:bCs/>
          <w:szCs w:val="21"/>
          <w:vertAlign w:val="subscript"/>
        </w:rPr>
        <w:t xml:space="preserve">first_target-PL-RS </w:t>
      </w:r>
      <w:r>
        <w:rPr>
          <w:rFonts w:eastAsia="Times New Roman"/>
          <w:bCs/>
          <w:szCs w:val="21"/>
        </w:rPr>
        <w:t>+ 4*T</w:t>
      </w:r>
      <w:r>
        <w:rPr>
          <w:rFonts w:eastAsia="Times New Roman"/>
          <w:bCs/>
          <w:szCs w:val="21"/>
          <w:vertAlign w:val="subscript"/>
        </w:rPr>
        <w:t xml:space="preserve">target_PL-RS </w:t>
      </w:r>
      <w:r>
        <w:rPr>
          <w:rFonts w:eastAsia="Times New Roman"/>
          <w:bCs/>
          <w:szCs w:val="21"/>
        </w:rPr>
        <w:t>+ 2ms)</w:t>
      </w:r>
    </w:p>
    <w:p>
      <w:pPr>
        <w:pStyle w:val="29"/>
        <w:widowControl w:val="0"/>
        <w:numPr>
          <w:ilvl w:val="1"/>
          <w:numId w:val="4"/>
        </w:numPr>
        <w:overflowPunct/>
        <w:autoSpaceDE/>
        <w:autoSpaceDN/>
        <w:adjustRightInd/>
        <w:ind w:firstLineChars="0"/>
        <w:textAlignment w:val="auto"/>
        <w:rPr>
          <w:lang w:eastAsia="ja-JP"/>
        </w:rPr>
      </w:pPr>
      <w:r>
        <w:rPr>
          <w:lang w:eastAsia="ja-JP"/>
        </w:rPr>
        <w:t>NM is equal to 1 if PL-RS is not maintained, and equal to 0 otherwise</w:t>
      </w:r>
    </w:p>
    <w:p>
      <w:pPr>
        <w:pStyle w:val="11"/>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For unknown case, UE needs to perform L1-RSRP to acquire suitable RX beam and the L1-RSRP, then with the assumed RX beam to measure PL-RS RSRP. So for PL-RS RSRP measurement, not need RX beam sweeping any more. So we prefer Proposal 4.</w:t>
      </w:r>
    </w:p>
    <w:p>
      <w:pPr>
        <w:pStyle w:val="11"/>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However, to move forward, maybe a compromised solution is needed. We noticed that some company believe whether additional Rx beam sweeping for PL-RS measurement is necessary or not, which depends on UE implementation. So maybe different UEs have different implementation. We can not accept Proposal 1 since it is too ambiguous in which we should try to avoid. We are open to discuss the compromised solution, such as a clear but not too long additional latency.</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cs="Times New Roman"/>
          <w:b/>
          <w:bCs/>
          <w:color w:val="auto"/>
          <w:sz w:val="20"/>
          <w:szCs w:val="20"/>
          <w:u w:val="singl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ascii="Times New Roman" w:hAnsi="Times New Roman"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ascii="Times New Roman" w:hAnsi="Times New Roman" w:cs="Times New Roman"/>
          <w:b/>
          <w:bCs/>
          <w:color w:val="auto"/>
          <w:sz w:val="21"/>
          <w:szCs w:val="21"/>
          <w:highlight w:val="none"/>
          <w:lang w:val="en-US" w:eastAsia="zh-CN" w:bidi="ar-SA"/>
        </w:rPr>
        <w:t>For the case when SSB is indicated as PL-RS in UL TCI state for FR2, which means the source RS is the SSB or QCL-Ded with the SSB. It should be emphasized once more that beam alignment is the precondition based on previous agreements. So not additional Rx beam sweeping is necessary. We prefer to reuse the existing delay requirement of MAC CE based UL TCI state switch. However to move forward, a compromised solution is needed, e.g. allowing a clear but not too long additional latency.</w:t>
      </w:r>
    </w:p>
    <w:p>
      <w:pPr>
        <w:pStyle w:val="3"/>
        <w:bidi w:val="0"/>
        <w:rPr>
          <w:rFonts w:hint="eastAsia"/>
          <w:color w:val="auto"/>
          <w:sz w:val="28"/>
          <w:szCs w:val="28"/>
          <w:highlight w:val="none"/>
          <w:lang w:val="en-US" w:eastAsia="zh-CN"/>
        </w:rPr>
      </w:pPr>
      <w:r>
        <w:rPr>
          <w:rFonts w:hint="eastAsia"/>
          <w:color w:val="auto"/>
          <w:sz w:val="28"/>
          <w:szCs w:val="28"/>
          <w:highlight w:val="none"/>
          <w:lang w:val="en-US" w:eastAsia="zh-CN"/>
        </w:rPr>
        <w:t>2.2 Inter-cell beam measurement</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b/>
          <w:bCs/>
          <w:i w:val="0"/>
          <w:iCs w:val="0"/>
          <w:sz w:val="21"/>
          <w:szCs w:val="21"/>
          <w:u w:val="single"/>
          <w:lang w:val="en-US" w:eastAsia="zh-CN"/>
        </w:rPr>
      </w:pPr>
      <w:r>
        <w:rPr>
          <w:rFonts w:hint="eastAsia"/>
          <w:b/>
          <w:bCs/>
          <w:i w:val="0"/>
          <w:iCs w:val="0"/>
          <w:sz w:val="21"/>
          <w:szCs w:val="21"/>
          <w:u w:val="single"/>
          <w:lang w:val="en-US" w:eastAsia="zh-CN"/>
        </w:rPr>
        <w:t>Whether need clarification or update in RAN4 spec when SSB And PDCCH/PDSCH Are overlapped on the same RE</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This issue was discussed in 106 meeting, finally the following were captured in the WF:</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To be confirmed:</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 xml:space="preserve">- [If the TCI state of the PDSCH /PDCCH is associated to the SSB of the cell with different PCI, </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 xml:space="preserve"> -</w:t>
            </w:r>
            <w:r>
              <w:rPr>
                <w:rFonts w:hint="eastAsia"/>
                <w:lang w:val="en-US" w:eastAsia="zh-CN"/>
              </w:rPr>
              <w:tab/>
            </w:r>
            <w:r>
              <w:rPr>
                <w:rFonts w:hint="eastAsia"/>
                <w:lang w:val="en-US" w:eastAsia="zh-CN"/>
              </w:rPr>
              <w:t>UE is not expected to receive PDSCH/PDCCH on the symbols corresponding to the SSB indexes configured for L1-RSRP measurement on the serving cell].</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So it seems that this issue should be discussed for two cases:</w:t>
      </w:r>
    </w:p>
    <w:p>
      <w:pPr>
        <w:keepNext w:val="0"/>
        <w:keepLines w:val="0"/>
        <w:pageBreakBefore w:val="0"/>
        <w:widowControl/>
        <w:numPr>
          <w:ilvl w:val="0"/>
          <w:numId w:val="9"/>
        </w:numPr>
        <w:kinsoku/>
        <w:wordWrap/>
        <w:overflowPunct/>
        <w:topLinePunct w:val="0"/>
        <w:autoSpaceDE/>
        <w:autoSpaceDN/>
        <w:bidi w:val="0"/>
        <w:adjustRightInd/>
        <w:snapToGrid/>
        <w:spacing w:before="157" w:beforeLines="50" w:after="157" w:afterLines="50"/>
        <w:jc w:val="both"/>
        <w:textAlignment w:val="auto"/>
        <w:rPr>
          <w:rFonts w:hint="default"/>
          <w:lang w:val="en-US" w:eastAsia="zh-CN"/>
        </w:rPr>
      </w:pPr>
      <w:r>
        <w:rPr>
          <w:rFonts w:hint="eastAsia"/>
          <w:lang w:val="en-US" w:eastAsia="zh-CN"/>
        </w:rPr>
        <w:t>Same PCI case</w:t>
      </w:r>
    </w:p>
    <w:p>
      <w:pPr>
        <w:keepNext w:val="0"/>
        <w:keepLines w:val="0"/>
        <w:pageBreakBefore w:val="0"/>
        <w:widowControl/>
        <w:numPr>
          <w:ilvl w:val="0"/>
          <w:numId w:val="9"/>
        </w:numPr>
        <w:kinsoku/>
        <w:wordWrap/>
        <w:overflowPunct/>
        <w:topLinePunct w:val="0"/>
        <w:autoSpaceDE/>
        <w:autoSpaceDN/>
        <w:bidi w:val="0"/>
        <w:adjustRightInd/>
        <w:snapToGrid/>
        <w:spacing w:before="157" w:beforeLines="50" w:after="157" w:afterLines="50"/>
        <w:jc w:val="both"/>
        <w:textAlignment w:val="auto"/>
        <w:rPr>
          <w:rFonts w:hint="default"/>
          <w:lang w:val="en-US" w:eastAsia="zh-CN"/>
        </w:rPr>
      </w:pPr>
      <w:r>
        <w:rPr>
          <w:rFonts w:hint="eastAsia"/>
          <w:lang w:val="en-US" w:eastAsia="zh-CN"/>
        </w:rPr>
        <w:t>Different PCI case</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lang w:val="en-US" w:eastAsia="zh-CN"/>
        </w:rPr>
      </w:pPr>
      <w:r>
        <w:rPr>
          <w:rFonts w:hint="eastAsia"/>
          <w:lang w:val="en-US" w:eastAsia="zh-CN"/>
        </w:rPr>
        <w:t>In our view, RAN4 does not need to clarify such additional scheduling restriction since RAN1 has concluded this. In RAN1#110b-e the following agreement was achieved: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pStyle w:val="16"/>
              <w:shd w:val="clear" w:color="auto" w:fill="FFFFFF"/>
              <w:overflowPunct w:val="0"/>
              <w:autoSpaceDE w:val="0"/>
              <w:autoSpaceDN w:val="0"/>
              <w:adjustRightInd w:val="0"/>
              <w:spacing w:before="0" w:beforeAutospacing="0" w:after="0" w:afterAutospacing="0"/>
              <w:textAlignment w:val="baseline"/>
              <w:rPr>
                <w:rFonts w:ascii="Times" w:hAnsi="Times" w:eastAsia="Malgun Gothic"/>
                <w:b/>
                <w:color w:val="auto"/>
                <w:sz w:val="20"/>
                <w:szCs w:val="20"/>
                <w:lang w:eastAsia="ko-KR"/>
              </w:rPr>
            </w:pPr>
            <w:r>
              <w:rPr>
                <w:rFonts w:ascii="Times" w:hAnsi="Times"/>
                <w:b/>
                <w:color w:val="auto"/>
                <w:sz w:val="20"/>
                <w:szCs w:val="20"/>
                <w:highlight w:val="green"/>
              </w:rPr>
              <w:t>Agreement</w:t>
            </w:r>
          </w:p>
          <w:p>
            <w:pPr>
              <w:pStyle w:val="16"/>
              <w:shd w:val="clear" w:color="auto" w:fill="FFFFFF"/>
              <w:overflowPunct w:val="0"/>
              <w:autoSpaceDE w:val="0"/>
              <w:autoSpaceDN w:val="0"/>
              <w:adjustRightInd w:val="0"/>
              <w:spacing w:before="0" w:beforeAutospacing="0" w:after="0" w:afterAutospacing="0"/>
              <w:textAlignment w:val="baseline"/>
              <w:rPr>
                <w:rFonts w:ascii="Times" w:hAnsi="Times"/>
                <w:color w:val="auto"/>
                <w:sz w:val="20"/>
                <w:szCs w:val="20"/>
              </w:rPr>
            </w:pPr>
            <w:r>
              <w:rPr>
                <w:rFonts w:ascii="Times" w:hAnsi="Times"/>
                <w:color w:val="auto"/>
                <w:sz w:val="20"/>
                <w:szCs w:val="20"/>
              </w:rPr>
              <w:t>Confirm the following working assumption with the following modification</w:t>
            </w:r>
          </w:p>
          <w:p>
            <w:pPr>
              <w:pStyle w:val="16"/>
              <w:shd w:val="clear" w:color="auto" w:fill="FFFFFF"/>
              <w:overflowPunct w:val="0"/>
              <w:autoSpaceDE w:val="0"/>
              <w:autoSpaceDN w:val="0"/>
              <w:adjustRightInd w:val="0"/>
              <w:spacing w:before="0" w:beforeAutospacing="0" w:after="0" w:afterAutospacing="0"/>
              <w:textAlignment w:val="baseline"/>
              <w:rPr>
                <w:rFonts w:hint="default" w:ascii="Times" w:hAnsi="Times" w:eastAsia="宋体"/>
                <w:color w:val="auto"/>
                <w:sz w:val="20"/>
                <w:szCs w:val="20"/>
                <w:lang w:val="en-US" w:eastAsia="zh-CN"/>
              </w:rPr>
            </w:pPr>
            <w:r>
              <w:rPr>
                <w:rFonts w:ascii="Times" w:hAnsi="Times"/>
                <w:color w:val="auto"/>
                <w:sz w:val="20"/>
                <w:szCs w:val="20"/>
              </w:rPr>
              <w:t xml:space="preserve">On inter-cell beam management, the PDCCH /PDSCH should be rate matched around the SSBs indicated by ssb-PositionsInBurst-r17 for the same PCI as that associated with TCI state of the PDSCH /PDCCH </w:t>
            </w:r>
          </w:p>
          <w:p>
            <w:pPr>
              <w:pStyle w:val="16"/>
              <w:numPr>
                <w:ilvl w:val="0"/>
                <w:numId w:val="10"/>
              </w:numPr>
              <w:shd w:val="clear" w:color="auto" w:fill="FFFFFF"/>
              <w:overflowPunct w:val="0"/>
              <w:autoSpaceDE w:val="0"/>
              <w:autoSpaceDN w:val="0"/>
              <w:adjustRightInd w:val="0"/>
              <w:spacing w:before="0" w:beforeAutospacing="0" w:after="0" w:afterAutospacing="0"/>
              <w:textAlignment w:val="baseline"/>
              <w:rPr>
                <w:rFonts w:ascii="Times" w:hAnsi="Times"/>
                <w:color w:val="auto"/>
                <w:sz w:val="20"/>
                <w:szCs w:val="20"/>
              </w:rPr>
            </w:pPr>
            <w:r>
              <w:rPr>
                <w:rFonts w:ascii="Times" w:hAnsi="Times"/>
                <w:color w:val="auto"/>
                <w:sz w:val="20"/>
                <w:szCs w:val="20"/>
              </w:rPr>
              <w:t>Note 1: From RAN1 perspective, no PDSCH/PDCCH demodulation requirement or L1-RSRP measurement requirement is pursued for simultaneous reception of PDSCH /PDCCH and SSB for L1-RSRP measurement for the case that SSB and PDCCH /PDSCH overlap on the same RE.</w:t>
            </w:r>
          </w:p>
          <w:p>
            <w:pPr>
              <w:pStyle w:val="16"/>
              <w:numPr>
                <w:ilvl w:val="0"/>
                <w:numId w:val="10"/>
              </w:numPr>
              <w:shd w:val="clear" w:color="auto" w:fill="FFFFFF"/>
              <w:overflowPunct w:val="0"/>
              <w:autoSpaceDE w:val="0"/>
              <w:autoSpaceDN w:val="0"/>
              <w:adjustRightInd w:val="0"/>
              <w:spacing w:before="0" w:beforeAutospacing="0" w:after="0" w:afterAutospacing="0"/>
              <w:textAlignment w:val="baseline"/>
              <w:rPr>
                <w:rFonts w:ascii="Times" w:hAnsi="Times"/>
                <w:color w:val="FF0000"/>
                <w:sz w:val="20"/>
                <w:szCs w:val="20"/>
              </w:rPr>
            </w:pPr>
            <w:r>
              <w:rPr>
                <w:rFonts w:ascii="Times" w:hAnsi="Times"/>
                <w:color w:val="auto"/>
                <w:sz w:val="20"/>
                <w:szCs w:val="20"/>
              </w:rPr>
              <w:t>Note2: For Note 1, there is no RAN1 spec impact</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For the same PCI case, Based on RAN1</w:t>
      </w:r>
      <w:r>
        <w:rPr>
          <w:rFonts w:hint="default"/>
          <w:lang w:val="en-US" w:eastAsia="zh-CN"/>
        </w:rPr>
        <w:t>’</w:t>
      </w:r>
      <w:r>
        <w:rPr>
          <w:rFonts w:hint="eastAsia"/>
          <w:lang w:val="en-US" w:eastAsia="zh-CN"/>
        </w:rPr>
        <w:t>s conclusion, it can be concluded that the PDCCH/PDSCH should be rate matched around the L1 SSB within the same PCI. So we believe no need to clarify anything more in RAN4 specification.</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ascii="Times New Roman" w:hAnsi="Times New Roman"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ascii="Times New Roman" w:hAnsi="Times New Roman" w:cs="Times New Roman"/>
          <w:b/>
          <w:bCs/>
          <w:color w:val="auto"/>
          <w:sz w:val="21"/>
          <w:szCs w:val="21"/>
          <w:highlight w:val="none"/>
          <w:lang w:val="en-US" w:eastAsia="zh-CN" w:bidi="ar-SA"/>
        </w:rPr>
        <w:t>Based on RAN1 agreements, RAN1 has specified that the PDCCH/PDSCH should be rate matched around the L1 SSB within the same PCI. So no need to clarify anything more in RAN4 specification.</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highlight w:val="none"/>
          <w:lang w:val="en-US" w:eastAsia="zh-CN"/>
        </w:rPr>
      </w:pPr>
      <w:r>
        <w:rPr>
          <w:rFonts w:hint="eastAsia"/>
          <w:lang w:val="en-US" w:eastAsia="zh-CN"/>
        </w:rPr>
        <w:t xml:space="preserve">While for the different PCI case, i.e. the PDCCH/PDSCH and the source SSB of the TCI state are in different TRP, the PDCCH/PDSCH is to be received in the serving cell, while the source SSB is transmitted in the TRP with different PCI, regarding the suspending content within brackets, </w:t>
      </w:r>
      <w:r>
        <w:rPr>
          <w:rFonts w:hint="eastAsia"/>
          <w:highlight w:val="none"/>
          <w:lang w:val="en-US" w:eastAsia="zh-CN"/>
        </w:rPr>
        <w:t>we are fine to introduce such inter-TRP rate matching since which is aligned with the rate matching under intra-TRP case.</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ascii="Times New Roman" w:hAnsi="Times New Roman"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ascii="Times New Roman" w:hAnsi="Times New Roman" w:cs="Times New Roman"/>
          <w:b/>
          <w:bCs/>
          <w:color w:val="auto"/>
          <w:sz w:val="21"/>
          <w:szCs w:val="21"/>
          <w:highlight w:val="none"/>
          <w:lang w:val="en-US" w:eastAsia="zh-CN" w:bidi="ar-SA"/>
        </w:rPr>
        <w:t>For the inter-TRP with different PCI case, we are fine to introduce the PDCCH/PDSCH rate matching.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1"/>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the remaining issues of R17 FeMIMO</w:t>
      </w:r>
      <w:r>
        <w:rPr>
          <w:rFonts w:eastAsia="宋体"/>
          <w:bCs/>
          <w:color w:val="auto"/>
          <w:sz w:val="21"/>
          <w:szCs w:val="21"/>
          <w:lang w:val="en-GB" w:eastAsia="zh-CN"/>
        </w:rPr>
        <w:t>:</w:t>
      </w:r>
    </w:p>
    <w:p>
      <w:pPr>
        <w:pStyle w:val="11"/>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highlight w:val="lightGray"/>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Under mTRP scenario, </w:t>
      </w:r>
      <w:r>
        <w:rPr>
          <w:rFonts w:hint="eastAsia" w:eastAsia="宋体" w:cs="Times New Roman"/>
          <w:b/>
          <w:bCs/>
          <w:color w:val="auto"/>
          <w:sz w:val="21"/>
          <w:szCs w:val="21"/>
          <w:highlight w:val="none"/>
          <w:lang w:val="en-US" w:eastAsia="zh-CN" w:bidi="ar-SA"/>
        </w:rPr>
        <w:t>i</w:t>
      </w:r>
      <w:r>
        <w:rPr>
          <w:rFonts w:hint="eastAsia" w:ascii="Times New Roman" w:hAnsi="Times New Roman" w:eastAsia="宋体" w:cs="Times New Roman"/>
          <w:b/>
          <w:bCs/>
          <w:color w:val="auto"/>
          <w:sz w:val="21"/>
          <w:szCs w:val="21"/>
          <w:highlight w:val="none"/>
          <w:lang w:val="en-US" w:eastAsia="zh-CN" w:bidi="ar-SA"/>
        </w:rPr>
        <w:t>f source RS in UL TCI state is not in the DL active TCI list</w:t>
      </w:r>
      <w:r>
        <w:rPr>
          <w:rFonts w:hint="eastAsia" w:eastAsia="宋体" w:cs="Times New Roman"/>
          <w:b/>
          <w:bCs/>
          <w:color w:val="auto"/>
          <w:sz w:val="21"/>
          <w:szCs w:val="21"/>
          <w:highlight w:val="none"/>
          <w:lang w:val="en-US" w:eastAsia="zh-CN" w:bidi="ar-SA"/>
        </w:rPr>
        <w:t>, the acquisition of time and frequency tracking should be addressed. Performing additional time/frequency tracking is necessary or we can check with RAN1.</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cs="Times New Roman"/>
          <w:b/>
          <w:bCs/>
          <w:color w:val="auto"/>
          <w:sz w:val="20"/>
          <w:szCs w:val="20"/>
          <w:u w:val="singl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ascii="Times New Roman" w:hAnsi="Times New Roman"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ascii="Times New Roman" w:hAnsi="Times New Roman" w:cs="Times New Roman"/>
          <w:b/>
          <w:bCs/>
          <w:color w:val="auto"/>
          <w:sz w:val="21"/>
          <w:szCs w:val="21"/>
          <w:highlight w:val="none"/>
          <w:lang w:val="en-US" w:eastAsia="zh-CN" w:bidi="ar-SA"/>
        </w:rPr>
        <w:t>For the case when SSB is indicated as PL-RS in UL TCI state for FR2, which means the source RS is the SSB or QCL-Ded with the SSB. It should be emphasized once more that beam alignment is the precondition based on previous agreements. So not additional Rx beam sweeping is necessary. We prefer to reuse the existing delay requirement of MAC CE based UL TCI state switch. However to move forward, a compromised solution is needed, e.g. allowing a clear but not too long additional latency.</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ascii="Times New Roman" w:hAnsi="Times New Roman"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ascii="Times New Roman" w:hAnsi="Times New Roman" w:cs="Times New Roman"/>
          <w:b/>
          <w:bCs/>
          <w:color w:val="auto"/>
          <w:sz w:val="21"/>
          <w:szCs w:val="21"/>
          <w:highlight w:val="none"/>
          <w:lang w:val="en-US" w:eastAsia="zh-CN" w:bidi="ar-SA"/>
        </w:rPr>
        <w:t>Based on RAN1 agreements, RAN1 has specified that the PDCCH/PDSCH should be rate matched around the L1 SSB within the same PCI. So no need to clarify anything more in RAN4 specification.</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eastAsia="宋体"/>
          <w:bCs/>
          <w:color w:val="auto"/>
          <w:sz w:val="21"/>
          <w:szCs w:val="21"/>
          <w:lang w:val="en-GB"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ascii="Times New Roman" w:hAnsi="Times New Roman"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ascii="Times New Roman" w:hAnsi="Times New Roman" w:cs="Times New Roman"/>
          <w:b/>
          <w:bCs/>
          <w:color w:val="auto"/>
          <w:sz w:val="21"/>
          <w:szCs w:val="21"/>
          <w:highlight w:val="none"/>
          <w:lang w:val="en-US" w:eastAsia="zh-CN" w:bidi="ar-SA"/>
        </w:rPr>
        <w:t>For the inter-TRP with different PCI case, we are fine to introduce the PDCCH/PDSCH rate matching.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6"/>
        <w:rPr>
          <w:rFonts w:hint="default" w:eastAsia="宋体"/>
          <w:color w:val="auto"/>
          <w:highlight w:val="none"/>
          <w:lang w:val="en-US" w:eastAsia="zh-CN"/>
        </w:rPr>
      </w:pPr>
      <w:r>
        <w:rPr>
          <w:rFonts w:hint="eastAsia"/>
          <w:color w:val="auto"/>
          <w:highlight w:val="none"/>
          <w:lang w:val="en-US" w:eastAsia="zh-CN"/>
        </w:rPr>
        <w:t xml:space="preserve">R4-2220713, </w:t>
      </w:r>
      <w:r>
        <w:rPr>
          <w:rFonts w:hint="default"/>
          <w:color w:val="auto"/>
          <w:highlight w:val="none"/>
          <w:lang w:val="en-US" w:eastAsia="zh-CN"/>
        </w:rPr>
        <w:t>“</w:t>
      </w:r>
      <w:r>
        <w:rPr>
          <w:rFonts w:hint="eastAsia"/>
          <w:color w:val="auto"/>
          <w:highlight w:val="none"/>
          <w:lang w:val="en-US" w:eastAsia="zh-CN"/>
        </w:rPr>
        <w:t>WF on Rel-17 FeMIMO RRM core requirement maintenance</w:t>
      </w:r>
      <w:r>
        <w:rPr>
          <w:rFonts w:hint="default"/>
          <w:color w:val="auto"/>
          <w:highlight w:val="none"/>
          <w:lang w:val="en-US" w:eastAsia="zh-CN"/>
        </w:rPr>
        <w:t>”</w:t>
      </w:r>
      <w:r>
        <w:rPr>
          <w:rFonts w:hint="eastAsia"/>
          <w:color w:val="auto"/>
          <w:highlight w:val="none"/>
          <w:lang w:val="en-US" w:eastAsia="zh-CN"/>
        </w:rPr>
        <w:t xml:space="preserve">, Intel.   </w:t>
      </w:r>
    </w:p>
    <w:p>
      <w:pPr>
        <w:pStyle w:val="6"/>
        <w:numPr>
          <w:ilvl w:val="0"/>
          <w:numId w:val="0"/>
        </w:numPr>
        <w:ind w:leftChars="0"/>
        <w:rPr>
          <w:rFonts w:hint="default" w:eastAsia="宋体"/>
          <w:color w:val="auto"/>
          <w:highlight w:val="none"/>
          <w:lang w:val="en-US" w:eastAsia="zh-CN"/>
        </w:rPr>
      </w:pPr>
    </w:p>
    <w:p>
      <w:pPr>
        <w:pStyle w:val="6"/>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PMincho"/>
    <w:panose1 w:val="020204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modern"/>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7F074B"/>
    <w:multiLevelType w:val="singleLevel"/>
    <w:tmpl w:val="807F074B"/>
    <w:lvl w:ilvl="0" w:tentative="0">
      <w:start w:val="1"/>
      <w:numFmt w:val="bullet"/>
      <w:lvlText w:val=""/>
      <w:lvlJc w:val="left"/>
      <w:pPr>
        <w:tabs>
          <w:tab w:val="left" w:pos="420"/>
        </w:tabs>
        <w:ind w:left="840" w:hanging="420"/>
      </w:pPr>
      <w:rPr>
        <w:rFonts w:hint="default" w:ascii="Wingdings" w:hAnsi="Wingdings"/>
      </w:rPr>
    </w:lvl>
  </w:abstractNum>
  <w:abstractNum w:abstractNumId="1">
    <w:nsid w:val="DE712E19"/>
    <w:multiLevelType w:val="singleLevel"/>
    <w:tmpl w:val="DE712E19"/>
    <w:lvl w:ilvl="0" w:tentative="0">
      <w:start w:val="1"/>
      <w:numFmt w:val="decimal"/>
      <w:suff w:val="space"/>
      <w:lvlText w:val="%1)"/>
      <w:lvlJc w:val="left"/>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3F825710"/>
    <w:multiLevelType w:val="singleLevel"/>
    <w:tmpl w:val="3F825710"/>
    <w:lvl w:ilvl="0" w:tentative="0">
      <w:start w:val="1"/>
      <w:numFmt w:val="bullet"/>
      <w:lvlText w:val=""/>
      <w:lvlJc w:val="left"/>
      <w:pPr>
        <w:tabs>
          <w:tab w:val="left" w:pos="420"/>
        </w:tabs>
        <w:ind w:left="840" w:hanging="420"/>
      </w:pPr>
      <w:rPr>
        <w:rFonts w:hint="default" w:ascii="Wingdings" w:hAnsi="Wingdings"/>
      </w:rPr>
    </w:lvl>
  </w:abstractNum>
  <w:abstractNum w:abstractNumId="5">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0142FC2"/>
    <w:multiLevelType w:val="multilevel"/>
    <w:tmpl w:val="60142FC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8"/>
      <w:numFmt w:val="bullet"/>
      <w:lvlText w:val="-"/>
      <w:lvlJc w:val="left"/>
      <w:pPr>
        <w:ind w:left="3150" w:hanging="360"/>
      </w:pPr>
      <w:rPr>
        <w:rFonts w:hint="default" w:ascii="Times New Roman" w:hAnsi="Times New Roman" w:eastAsia="Times New Roman"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18C7316"/>
    <w:multiLevelType w:val="multilevel"/>
    <w:tmpl w:val="618C73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B5B4F67"/>
    <w:multiLevelType w:val="multilevel"/>
    <w:tmpl w:val="6B5B4F67"/>
    <w:lvl w:ilvl="0" w:tentative="0">
      <w:start w:val="1"/>
      <w:numFmt w:val="decimal"/>
      <w:pStyle w:val="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5"/>
  </w:num>
  <w:num w:numId="3">
    <w:abstractNumId w:val="2"/>
  </w:num>
  <w:num w:numId="4">
    <w:abstractNumId w:val="6"/>
  </w:num>
  <w:num w:numId="5">
    <w:abstractNumId w:val="3"/>
  </w:num>
  <w:num w:numId="6">
    <w:abstractNumId w:val="0"/>
  </w:num>
  <w:num w:numId="7">
    <w:abstractNumId w:val="4"/>
  </w:num>
  <w:num w:numId="8">
    <w:abstractNumId w:val="7"/>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130A"/>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5549"/>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D4980"/>
    <w:rsid w:val="028B6A1D"/>
    <w:rsid w:val="028F1C3E"/>
    <w:rsid w:val="03E4226B"/>
    <w:rsid w:val="04291300"/>
    <w:rsid w:val="04A04DCC"/>
    <w:rsid w:val="04F447C1"/>
    <w:rsid w:val="05123449"/>
    <w:rsid w:val="058C33EF"/>
    <w:rsid w:val="05C42923"/>
    <w:rsid w:val="05E724AA"/>
    <w:rsid w:val="07CD3CDD"/>
    <w:rsid w:val="0855671D"/>
    <w:rsid w:val="09716BCA"/>
    <w:rsid w:val="09AD4F9D"/>
    <w:rsid w:val="09E644B8"/>
    <w:rsid w:val="0A487ABE"/>
    <w:rsid w:val="0AA430B2"/>
    <w:rsid w:val="0AC55A90"/>
    <w:rsid w:val="0B9B74B2"/>
    <w:rsid w:val="0BB0429A"/>
    <w:rsid w:val="0BD65987"/>
    <w:rsid w:val="0C563DEC"/>
    <w:rsid w:val="0CB97ACD"/>
    <w:rsid w:val="0DBB01ED"/>
    <w:rsid w:val="0E8A2AC7"/>
    <w:rsid w:val="0EC815B9"/>
    <w:rsid w:val="0F446A2E"/>
    <w:rsid w:val="0F5F76E0"/>
    <w:rsid w:val="0F644A12"/>
    <w:rsid w:val="0F7F19AF"/>
    <w:rsid w:val="103945B2"/>
    <w:rsid w:val="10674402"/>
    <w:rsid w:val="10E40715"/>
    <w:rsid w:val="11874411"/>
    <w:rsid w:val="128B4D66"/>
    <w:rsid w:val="12F6028C"/>
    <w:rsid w:val="13850208"/>
    <w:rsid w:val="1419083F"/>
    <w:rsid w:val="142334E3"/>
    <w:rsid w:val="14773990"/>
    <w:rsid w:val="1481754F"/>
    <w:rsid w:val="148A67E1"/>
    <w:rsid w:val="148F5721"/>
    <w:rsid w:val="14AC57CD"/>
    <w:rsid w:val="14E75423"/>
    <w:rsid w:val="15D32C69"/>
    <w:rsid w:val="15DE4E03"/>
    <w:rsid w:val="15FC23B3"/>
    <w:rsid w:val="1620398C"/>
    <w:rsid w:val="164514BE"/>
    <w:rsid w:val="16453D79"/>
    <w:rsid w:val="170F06AA"/>
    <w:rsid w:val="173B3D2D"/>
    <w:rsid w:val="17873B5D"/>
    <w:rsid w:val="17EF48AA"/>
    <w:rsid w:val="180A6E32"/>
    <w:rsid w:val="183F2CD2"/>
    <w:rsid w:val="18CD0507"/>
    <w:rsid w:val="19BE6685"/>
    <w:rsid w:val="1AD01A1B"/>
    <w:rsid w:val="1AE10B46"/>
    <w:rsid w:val="1B7B4E35"/>
    <w:rsid w:val="1B8E6B66"/>
    <w:rsid w:val="1C177B08"/>
    <w:rsid w:val="1C4E28F6"/>
    <w:rsid w:val="1C9001C6"/>
    <w:rsid w:val="1CBA2101"/>
    <w:rsid w:val="1CD048D5"/>
    <w:rsid w:val="1D0573D7"/>
    <w:rsid w:val="1D0B674C"/>
    <w:rsid w:val="1D153DC4"/>
    <w:rsid w:val="1D223E0B"/>
    <w:rsid w:val="1D2B14A2"/>
    <w:rsid w:val="1D61034A"/>
    <w:rsid w:val="1D8E4D59"/>
    <w:rsid w:val="1E1C19EB"/>
    <w:rsid w:val="1E853F6F"/>
    <w:rsid w:val="1EB32AA2"/>
    <w:rsid w:val="1ECC1E3C"/>
    <w:rsid w:val="1F052B15"/>
    <w:rsid w:val="1FDA0E82"/>
    <w:rsid w:val="20371001"/>
    <w:rsid w:val="207B4602"/>
    <w:rsid w:val="21244EB1"/>
    <w:rsid w:val="21391C75"/>
    <w:rsid w:val="21720B64"/>
    <w:rsid w:val="21C05D5F"/>
    <w:rsid w:val="21F13629"/>
    <w:rsid w:val="2226733B"/>
    <w:rsid w:val="225A52C0"/>
    <w:rsid w:val="24122135"/>
    <w:rsid w:val="245D5C14"/>
    <w:rsid w:val="25862B35"/>
    <w:rsid w:val="258F4033"/>
    <w:rsid w:val="25932BF9"/>
    <w:rsid w:val="265B50B5"/>
    <w:rsid w:val="26967449"/>
    <w:rsid w:val="26AE2CCC"/>
    <w:rsid w:val="26BB1419"/>
    <w:rsid w:val="26CB1031"/>
    <w:rsid w:val="27893AB2"/>
    <w:rsid w:val="281C12F4"/>
    <w:rsid w:val="29553F3A"/>
    <w:rsid w:val="299514B8"/>
    <w:rsid w:val="29A05E8C"/>
    <w:rsid w:val="2A3916E1"/>
    <w:rsid w:val="2A7E505C"/>
    <w:rsid w:val="2A9B2B82"/>
    <w:rsid w:val="2B471816"/>
    <w:rsid w:val="2B851E8F"/>
    <w:rsid w:val="2B954C89"/>
    <w:rsid w:val="2BA1692B"/>
    <w:rsid w:val="2BC05B2C"/>
    <w:rsid w:val="2BD617C5"/>
    <w:rsid w:val="2C112837"/>
    <w:rsid w:val="2CC146D3"/>
    <w:rsid w:val="2D036269"/>
    <w:rsid w:val="2E8D0F89"/>
    <w:rsid w:val="2EF477D1"/>
    <w:rsid w:val="2F2F0FC8"/>
    <w:rsid w:val="301C6BB6"/>
    <w:rsid w:val="30481D4B"/>
    <w:rsid w:val="31437A9E"/>
    <w:rsid w:val="31B14C9E"/>
    <w:rsid w:val="32EF2287"/>
    <w:rsid w:val="34331E65"/>
    <w:rsid w:val="34471EEA"/>
    <w:rsid w:val="34F11107"/>
    <w:rsid w:val="34F80A7B"/>
    <w:rsid w:val="35B06C6A"/>
    <w:rsid w:val="36D37423"/>
    <w:rsid w:val="37F14E37"/>
    <w:rsid w:val="38726558"/>
    <w:rsid w:val="3A185287"/>
    <w:rsid w:val="3A692CD0"/>
    <w:rsid w:val="3AF37EF4"/>
    <w:rsid w:val="3B3B2DF3"/>
    <w:rsid w:val="3B673620"/>
    <w:rsid w:val="3B9A1F29"/>
    <w:rsid w:val="3C6D5868"/>
    <w:rsid w:val="3CE4646B"/>
    <w:rsid w:val="3D5E7AA8"/>
    <w:rsid w:val="3D6F2596"/>
    <w:rsid w:val="3DE90736"/>
    <w:rsid w:val="3E5C0323"/>
    <w:rsid w:val="3E7D08ED"/>
    <w:rsid w:val="3EB83B19"/>
    <w:rsid w:val="401B3A6B"/>
    <w:rsid w:val="405F175E"/>
    <w:rsid w:val="40C765F3"/>
    <w:rsid w:val="41434B15"/>
    <w:rsid w:val="41A6601D"/>
    <w:rsid w:val="42420E47"/>
    <w:rsid w:val="42F869D2"/>
    <w:rsid w:val="4300258F"/>
    <w:rsid w:val="43553536"/>
    <w:rsid w:val="43F83B1E"/>
    <w:rsid w:val="441D5188"/>
    <w:rsid w:val="44F46037"/>
    <w:rsid w:val="451632B9"/>
    <w:rsid w:val="453954E9"/>
    <w:rsid w:val="456C100D"/>
    <w:rsid w:val="45F60A50"/>
    <w:rsid w:val="46B036BF"/>
    <w:rsid w:val="47282363"/>
    <w:rsid w:val="49124BB5"/>
    <w:rsid w:val="49E55BC5"/>
    <w:rsid w:val="4A796308"/>
    <w:rsid w:val="4B2470BA"/>
    <w:rsid w:val="4B30128C"/>
    <w:rsid w:val="4C1C63D6"/>
    <w:rsid w:val="4C2528EF"/>
    <w:rsid w:val="4C864A35"/>
    <w:rsid w:val="4D321410"/>
    <w:rsid w:val="4D8C1A89"/>
    <w:rsid w:val="4DBF2DA1"/>
    <w:rsid w:val="4E015C76"/>
    <w:rsid w:val="4E4A2325"/>
    <w:rsid w:val="501A6C55"/>
    <w:rsid w:val="50D52227"/>
    <w:rsid w:val="50E3745A"/>
    <w:rsid w:val="51277D2C"/>
    <w:rsid w:val="519A6ACC"/>
    <w:rsid w:val="51B14BED"/>
    <w:rsid w:val="52280006"/>
    <w:rsid w:val="525C1CEF"/>
    <w:rsid w:val="52830646"/>
    <w:rsid w:val="52960673"/>
    <w:rsid w:val="52EC72B6"/>
    <w:rsid w:val="52F41789"/>
    <w:rsid w:val="53C64B93"/>
    <w:rsid w:val="53F07453"/>
    <w:rsid w:val="55B1164D"/>
    <w:rsid w:val="55B4735E"/>
    <w:rsid w:val="56371459"/>
    <w:rsid w:val="56875C1B"/>
    <w:rsid w:val="58A10C72"/>
    <w:rsid w:val="58CD139E"/>
    <w:rsid w:val="59DA647E"/>
    <w:rsid w:val="5A556E1A"/>
    <w:rsid w:val="5B550FCA"/>
    <w:rsid w:val="5B8B68DC"/>
    <w:rsid w:val="5BB306CC"/>
    <w:rsid w:val="5CED039D"/>
    <w:rsid w:val="5D8941DA"/>
    <w:rsid w:val="5D982E42"/>
    <w:rsid w:val="5E8E2521"/>
    <w:rsid w:val="5EB44FC0"/>
    <w:rsid w:val="5F5029C1"/>
    <w:rsid w:val="5F931A96"/>
    <w:rsid w:val="5FBA395F"/>
    <w:rsid w:val="5FDA2C68"/>
    <w:rsid w:val="603C501F"/>
    <w:rsid w:val="62B047E1"/>
    <w:rsid w:val="635902CD"/>
    <w:rsid w:val="64706BBE"/>
    <w:rsid w:val="648E511B"/>
    <w:rsid w:val="64F2095B"/>
    <w:rsid w:val="6533321C"/>
    <w:rsid w:val="663D5CCF"/>
    <w:rsid w:val="66770492"/>
    <w:rsid w:val="67052A96"/>
    <w:rsid w:val="671A4BC2"/>
    <w:rsid w:val="673413FA"/>
    <w:rsid w:val="676368B9"/>
    <w:rsid w:val="67A858DB"/>
    <w:rsid w:val="67F23A58"/>
    <w:rsid w:val="691B180A"/>
    <w:rsid w:val="691F2D87"/>
    <w:rsid w:val="691F3105"/>
    <w:rsid w:val="697B28F2"/>
    <w:rsid w:val="69A833BD"/>
    <w:rsid w:val="6A5B13F3"/>
    <w:rsid w:val="6B27098F"/>
    <w:rsid w:val="6BD63FDC"/>
    <w:rsid w:val="6C7466F1"/>
    <w:rsid w:val="6DAB717C"/>
    <w:rsid w:val="6DDE3DAF"/>
    <w:rsid w:val="6DE05144"/>
    <w:rsid w:val="6F160B9A"/>
    <w:rsid w:val="6FE94925"/>
    <w:rsid w:val="70540BC6"/>
    <w:rsid w:val="707C055E"/>
    <w:rsid w:val="70814FA6"/>
    <w:rsid w:val="715F4C2D"/>
    <w:rsid w:val="71844714"/>
    <w:rsid w:val="72BF60CA"/>
    <w:rsid w:val="72E11A86"/>
    <w:rsid w:val="7522275B"/>
    <w:rsid w:val="752872FE"/>
    <w:rsid w:val="753811DE"/>
    <w:rsid w:val="75A17C8F"/>
    <w:rsid w:val="75BE67D4"/>
    <w:rsid w:val="75C759C1"/>
    <w:rsid w:val="762D64F3"/>
    <w:rsid w:val="775B4604"/>
    <w:rsid w:val="77C067C3"/>
    <w:rsid w:val="77C6011D"/>
    <w:rsid w:val="77CA63ED"/>
    <w:rsid w:val="78141A2A"/>
    <w:rsid w:val="78911E31"/>
    <w:rsid w:val="78D006C0"/>
    <w:rsid w:val="7A076CB0"/>
    <w:rsid w:val="7A9367CB"/>
    <w:rsid w:val="7AEC3E2E"/>
    <w:rsid w:val="7AF22571"/>
    <w:rsid w:val="7BD71373"/>
    <w:rsid w:val="7C1C35A7"/>
    <w:rsid w:val="7C45431D"/>
    <w:rsid w:val="7C5B0E57"/>
    <w:rsid w:val="7C855657"/>
    <w:rsid w:val="7CE6742C"/>
    <w:rsid w:val="7D684E4F"/>
    <w:rsid w:val="7DDD0501"/>
    <w:rsid w:val="7DE541D2"/>
    <w:rsid w:val="7E3C78E6"/>
    <w:rsid w:val="7E6C2D77"/>
    <w:rsid w:val="7E90378F"/>
    <w:rsid w:val="7E935AFB"/>
    <w:rsid w:val="7F2619A0"/>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7">
    <w:name w:val="List"/>
    <w:basedOn w:val="1"/>
    <w:semiHidden/>
    <w:unhideWhenUsed/>
    <w:qFormat/>
    <w:uiPriority w:val="99"/>
    <w:pPr>
      <w:ind w:left="200" w:hanging="200" w:hangingChars="200"/>
      <w:contextualSpacing/>
    </w:p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30"/>
    <w:semiHidden/>
    <w:unhideWhenUsed/>
    <w:qFormat/>
    <w:uiPriority w:val="99"/>
    <w:rPr>
      <w:rFonts w:ascii="宋体" w:eastAsia="宋体"/>
      <w:sz w:val="18"/>
      <w:szCs w:val="18"/>
    </w:rPr>
  </w:style>
  <w:style w:type="paragraph" w:styleId="10">
    <w:name w:val="annotation text"/>
    <w:basedOn w:val="1"/>
    <w:semiHidden/>
    <w:unhideWhenUsed/>
    <w:qFormat/>
    <w:uiPriority w:val="99"/>
    <w:pPr>
      <w:jc w:val="left"/>
    </w:pPr>
  </w:style>
  <w:style w:type="paragraph" w:styleId="11">
    <w:name w:val="Body Text"/>
    <w:basedOn w:val="1"/>
    <w:link w:val="24"/>
    <w:qFormat/>
    <w:uiPriority w:val="0"/>
    <w:pPr>
      <w:spacing w:after="120"/>
      <w:jc w:val="both"/>
    </w:pPr>
    <w:rPr>
      <w:rFonts w:eastAsia="MS Mincho"/>
      <w:lang w:val="zh-CN"/>
    </w:r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11"/>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9"/>
    <w:semiHidden/>
    <w:qFormat/>
    <w:uiPriority w:val="99"/>
    <w:rPr>
      <w:rFonts w:ascii="宋体" w:hAnsi="Times New Roman"/>
      <w:sz w:val="18"/>
      <w:szCs w:val="18"/>
      <w:lang w:eastAsia="en-US"/>
    </w:rPr>
  </w:style>
  <w:style w:type="paragraph" w:customStyle="1" w:styleId="31">
    <w:name w:val="B1"/>
    <w:basedOn w:val="7"/>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8"/>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paragraph"/>
    <w:basedOn w:val="1"/>
    <w:qFormat/>
    <w:uiPriority w:val="0"/>
    <w:pPr>
      <w:spacing w:before="100" w:beforeAutospacing="1" w:after="100" w:afterAutospacing="1"/>
    </w:pPr>
    <w:rPr>
      <w:rFonts w:eastAsia="Times New Roman"/>
      <w:sz w:val="24"/>
      <w:szCs w:val="24"/>
    </w:rPr>
  </w:style>
  <w:style w:type="character" w:customStyle="1" w:styleId="54">
    <w:name w:val="normaltextrun"/>
    <w:basedOn w:val="19"/>
    <w:qFormat/>
    <w:uiPriority w:val="0"/>
  </w:style>
  <w:style w:type="paragraph" w:customStyle="1" w:styleId="55">
    <w:name w:val="B2"/>
    <w:basedOn w:val="6"/>
    <w:qFormat/>
    <w:uiPriority w:val="0"/>
  </w:style>
  <w:style w:type="paragraph" w:customStyle="1" w:styleId="56">
    <w:name w:val="B3"/>
    <w:basedOn w:val="5"/>
    <w:qFormat/>
    <w:uiPriority w:val="0"/>
  </w:style>
  <w:style w:type="paragraph" w:customStyle="1" w:styleId="57">
    <w:name w:val="TAN"/>
    <w:basedOn w:val="36"/>
    <w:qFormat/>
    <w:uiPriority w:val="0"/>
    <w:pPr>
      <w:ind w:left="851" w:hanging="851"/>
    </w:pPr>
  </w:style>
  <w:style w:type="table" w:customStyle="1" w:styleId="58">
    <w:name w:val="TableGrid1"/>
    <w:basedOn w:val="17"/>
    <w:qFormat/>
    <w:uiPriority w:val="39"/>
    <w:pPr>
      <w:overflowPunct w:val="0"/>
      <w:autoSpaceDE w:val="0"/>
      <w:autoSpaceDN w:val="0"/>
      <w:adjustRightInd w:val="0"/>
      <w:spacing w:after="180"/>
      <w:textAlignment w:val="baseline"/>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2023-05-15T14:31:36Z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